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1E4FC" w14:textId="69C934A9" w:rsidR="00753A3A" w:rsidRPr="009502AA" w:rsidRDefault="00942DC0" w:rsidP="00FF407B">
      <w:pPr>
        <w:pStyle w:val="Title"/>
        <w:jc w:val="center"/>
        <w:rPr>
          <w:b/>
          <w:bCs/>
        </w:rPr>
      </w:pPr>
      <w:r w:rsidRPr="009502AA">
        <w:rPr>
          <w:b/>
          <w:bCs/>
          <w:color w:val="auto"/>
        </w:rPr>
        <w:t>DmP</w:t>
      </w:r>
      <w:r w:rsidR="00C612CA" w:rsidRPr="009502AA">
        <w:rPr>
          <w:b/>
          <w:bCs/>
          <w:color w:val="auto"/>
        </w:rPr>
        <w:t xml:space="preserve"> Review</w:t>
      </w:r>
      <w:r w:rsidRPr="009502AA">
        <w:rPr>
          <w:b/>
          <w:bCs/>
          <w:color w:val="auto"/>
        </w:rPr>
        <w:t xml:space="preserve"> Checklist</w:t>
      </w:r>
      <w:r w:rsidR="00A11060" w:rsidRPr="009502AA">
        <w:rPr>
          <w:b/>
          <w:bCs/>
          <w:color w:val="auto"/>
        </w:rPr>
        <w:t xml:space="preserve"> &amp; Resources</w:t>
      </w:r>
    </w:p>
    <w:p w14:paraId="6B2A77AD" w14:textId="5286B644" w:rsidR="00C612CA" w:rsidRDefault="00C612CA" w:rsidP="00C612CA">
      <w:r>
        <w:t>The data management plan (DMP) encompasses the full data life cycle.  A complete data management plan will include all six elements.  Adherence to standards is encouraged to promote greater interoperability, re-use, and ease of long-term maintenance for data to be managed as an asset.</w:t>
      </w:r>
      <w:r w:rsidR="00266033">
        <w:t xml:space="preserve">  Every effort is made to integrate these requirements into the normal ARS workflow for project management.  Example Repositories on the reverse.</w:t>
      </w:r>
    </w:p>
    <w:p w14:paraId="573E29C6" w14:textId="77777777" w:rsidR="00C612CA" w:rsidRPr="009502AA" w:rsidRDefault="00C612CA" w:rsidP="00C612CA">
      <w:pPr>
        <w:pStyle w:val="Heading1"/>
        <w:rPr>
          <w:b/>
          <w:bCs/>
          <w:color w:val="auto"/>
        </w:rPr>
      </w:pPr>
      <w:r w:rsidRPr="009502AA">
        <w:rPr>
          <w:b/>
          <w:bCs/>
          <w:color w:val="auto"/>
        </w:rPr>
        <w:t>Section 1: expected data types</w:t>
      </w:r>
    </w:p>
    <w:tbl>
      <w:tblPr>
        <w:tblStyle w:val="TableGrid"/>
        <w:tblW w:w="10795" w:type="dxa"/>
        <w:tblLook w:val="04A0" w:firstRow="1" w:lastRow="0" w:firstColumn="1" w:lastColumn="0" w:noHBand="0" w:noVBand="1"/>
      </w:tblPr>
      <w:tblGrid>
        <w:gridCol w:w="4675"/>
        <w:gridCol w:w="6120"/>
      </w:tblGrid>
      <w:tr w:rsidR="00C612CA" w14:paraId="60CD344C" w14:textId="77777777" w:rsidTr="00A11060">
        <w:tc>
          <w:tcPr>
            <w:tcW w:w="4675" w:type="dxa"/>
            <w:shd w:val="clear" w:color="auto" w:fill="D9D9D9" w:themeFill="background1" w:themeFillShade="D9"/>
          </w:tcPr>
          <w:p w14:paraId="06D56993" w14:textId="77777777" w:rsidR="00C612CA" w:rsidRPr="00DC3D2C" w:rsidRDefault="00DC3D2C" w:rsidP="00C612CA">
            <w:pPr>
              <w:rPr>
                <w:b/>
              </w:rPr>
            </w:pPr>
            <w:r>
              <w:rPr>
                <w:b/>
              </w:rPr>
              <w:t>What to expect</w:t>
            </w:r>
          </w:p>
        </w:tc>
        <w:tc>
          <w:tcPr>
            <w:tcW w:w="6120" w:type="dxa"/>
            <w:shd w:val="clear" w:color="auto" w:fill="D9D9D9" w:themeFill="background1" w:themeFillShade="D9"/>
          </w:tcPr>
          <w:p w14:paraId="443FDB4F" w14:textId="77777777" w:rsidR="00C612CA" w:rsidRPr="00DC3D2C" w:rsidRDefault="00DC3D2C" w:rsidP="00C612CA">
            <w:pPr>
              <w:rPr>
                <w:b/>
              </w:rPr>
            </w:pPr>
            <w:r>
              <w:rPr>
                <w:b/>
              </w:rPr>
              <w:t>Tips/Resources</w:t>
            </w:r>
          </w:p>
        </w:tc>
      </w:tr>
      <w:tr w:rsidR="00DC3D2C" w14:paraId="73791CA5" w14:textId="77777777" w:rsidTr="00A11060">
        <w:tc>
          <w:tcPr>
            <w:tcW w:w="4675" w:type="dxa"/>
          </w:tcPr>
          <w:p w14:paraId="3B5C3634" w14:textId="77777777" w:rsidR="00DC3D2C" w:rsidRDefault="00DC3D2C" w:rsidP="00DC3D2C">
            <w:pPr>
              <w:pStyle w:val="ListParagraph"/>
              <w:numPr>
                <w:ilvl w:val="0"/>
                <w:numId w:val="1"/>
              </w:numPr>
            </w:pPr>
            <w:r>
              <w:t>Describe the data types</w:t>
            </w:r>
          </w:p>
          <w:p w14:paraId="5B9846A0" w14:textId="77777777" w:rsidR="00DC3D2C" w:rsidRDefault="00DC3D2C" w:rsidP="00DC3D2C">
            <w:pPr>
              <w:pStyle w:val="ListParagraph"/>
              <w:numPr>
                <w:ilvl w:val="0"/>
                <w:numId w:val="1"/>
              </w:numPr>
            </w:pPr>
            <w:r>
              <w:t>Describes how the data is generated</w:t>
            </w:r>
          </w:p>
          <w:p w14:paraId="7BDA4AE1" w14:textId="77777777" w:rsidR="00DC3D2C" w:rsidRDefault="00DC3D2C" w:rsidP="00DC3D2C">
            <w:pPr>
              <w:pStyle w:val="ListParagraph"/>
              <w:numPr>
                <w:ilvl w:val="0"/>
                <w:numId w:val="1"/>
              </w:numPr>
            </w:pPr>
            <w:r>
              <w:t xml:space="preserve">Documentation </w:t>
            </w:r>
            <w:r w:rsidR="00855C8E">
              <w:t>which</w:t>
            </w:r>
            <w:r>
              <w:t xml:space="preserve"> promote</w:t>
            </w:r>
            <w:r w:rsidR="00855C8E">
              <w:t>s</w:t>
            </w:r>
            <w:r>
              <w:t xml:space="preserve"> re-use</w:t>
            </w:r>
          </w:p>
          <w:p w14:paraId="00778304" w14:textId="77777777" w:rsidR="00DC3D2C" w:rsidRDefault="00DC3D2C" w:rsidP="00DC3D2C">
            <w:pPr>
              <w:pStyle w:val="ListParagraph"/>
              <w:numPr>
                <w:ilvl w:val="0"/>
                <w:numId w:val="1"/>
              </w:numPr>
            </w:pPr>
            <w:r>
              <w:t>Identifies expected data volume</w:t>
            </w:r>
          </w:p>
        </w:tc>
        <w:tc>
          <w:tcPr>
            <w:tcW w:w="6120" w:type="dxa"/>
          </w:tcPr>
          <w:p w14:paraId="03E9EBE0" w14:textId="1EB5E135" w:rsidR="00DC3D2C" w:rsidRDefault="00641C5C" w:rsidP="00641C5C">
            <w:pPr>
              <w:pStyle w:val="ListParagraph"/>
              <w:numPr>
                <w:ilvl w:val="0"/>
                <w:numId w:val="1"/>
              </w:numPr>
            </w:pPr>
            <w:r>
              <w:t>High level description of the data types (e.g.</w:t>
            </w:r>
            <w:r w:rsidR="00A01FB5">
              <w:t>,</w:t>
            </w:r>
            <w:r>
              <w:t xml:space="preserve"> drone images; sequencing reads)</w:t>
            </w:r>
          </w:p>
          <w:p w14:paraId="400AA56D" w14:textId="77777777" w:rsidR="00641C5C" w:rsidRDefault="00641C5C" w:rsidP="00641C5C">
            <w:pPr>
              <w:pStyle w:val="ListParagraph"/>
              <w:numPr>
                <w:ilvl w:val="0"/>
                <w:numId w:val="1"/>
              </w:numPr>
            </w:pPr>
            <w:r>
              <w:t>Data collection methods (community standards are highly encouraged)</w:t>
            </w:r>
          </w:p>
        </w:tc>
      </w:tr>
    </w:tbl>
    <w:p w14:paraId="084CE2ED" w14:textId="77777777" w:rsidR="00C612CA" w:rsidRPr="009502AA" w:rsidRDefault="00DC3D2C" w:rsidP="00DC3D2C">
      <w:pPr>
        <w:pStyle w:val="Heading1"/>
        <w:rPr>
          <w:b/>
          <w:bCs/>
          <w:color w:val="auto"/>
        </w:rPr>
      </w:pPr>
      <w:r w:rsidRPr="009502AA">
        <w:rPr>
          <w:b/>
          <w:bCs/>
          <w:color w:val="auto"/>
        </w:rPr>
        <w:t>Section 2: Data formats and standards</w:t>
      </w:r>
    </w:p>
    <w:tbl>
      <w:tblPr>
        <w:tblStyle w:val="TableGrid"/>
        <w:tblW w:w="10795" w:type="dxa"/>
        <w:tblLook w:val="04A0" w:firstRow="1" w:lastRow="0" w:firstColumn="1" w:lastColumn="0" w:noHBand="0" w:noVBand="1"/>
      </w:tblPr>
      <w:tblGrid>
        <w:gridCol w:w="4675"/>
        <w:gridCol w:w="6120"/>
      </w:tblGrid>
      <w:tr w:rsidR="00DC3D2C" w14:paraId="7228299A" w14:textId="77777777" w:rsidTr="00A11060">
        <w:tc>
          <w:tcPr>
            <w:tcW w:w="4675" w:type="dxa"/>
            <w:shd w:val="clear" w:color="auto" w:fill="D9D9D9" w:themeFill="background1" w:themeFillShade="D9"/>
          </w:tcPr>
          <w:p w14:paraId="08AA50AE" w14:textId="77777777" w:rsidR="00DC3D2C" w:rsidRPr="00DC3D2C" w:rsidRDefault="00DC3D2C" w:rsidP="00DC3D2C">
            <w:pPr>
              <w:rPr>
                <w:b/>
              </w:rPr>
            </w:pPr>
            <w:r>
              <w:rPr>
                <w:b/>
              </w:rPr>
              <w:t>What to expect</w:t>
            </w:r>
          </w:p>
        </w:tc>
        <w:tc>
          <w:tcPr>
            <w:tcW w:w="6120" w:type="dxa"/>
            <w:shd w:val="clear" w:color="auto" w:fill="D9D9D9" w:themeFill="background1" w:themeFillShade="D9"/>
          </w:tcPr>
          <w:p w14:paraId="08E5C7A1" w14:textId="77777777" w:rsidR="00DC3D2C" w:rsidRPr="00DC3D2C" w:rsidRDefault="00DC3D2C" w:rsidP="00DC3D2C">
            <w:pPr>
              <w:rPr>
                <w:b/>
              </w:rPr>
            </w:pPr>
            <w:r>
              <w:rPr>
                <w:b/>
              </w:rPr>
              <w:t>Tips/Resources</w:t>
            </w:r>
          </w:p>
        </w:tc>
      </w:tr>
      <w:tr w:rsidR="00DC3D2C" w14:paraId="43CFFCED" w14:textId="77777777" w:rsidTr="00A11060">
        <w:tc>
          <w:tcPr>
            <w:tcW w:w="4675" w:type="dxa"/>
          </w:tcPr>
          <w:p w14:paraId="09D0E90B" w14:textId="77777777" w:rsidR="00DC3D2C" w:rsidRDefault="00DC3D2C" w:rsidP="00DC3D2C">
            <w:pPr>
              <w:pStyle w:val="ListParagraph"/>
              <w:numPr>
                <w:ilvl w:val="0"/>
                <w:numId w:val="2"/>
              </w:numPr>
            </w:pPr>
            <w:r>
              <w:t>Community-supported data formats</w:t>
            </w:r>
          </w:p>
          <w:p w14:paraId="2E88F448" w14:textId="428D7D14" w:rsidR="00DC3D2C" w:rsidRDefault="00DC3D2C" w:rsidP="00DC3D2C">
            <w:pPr>
              <w:pStyle w:val="ListParagraph"/>
              <w:numPr>
                <w:ilvl w:val="0"/>
                <w:numId w:val="2"/>
              </w:numPr>
            </w:pPr>
            <w:r>
              <w:t>Machine readable (e.g.</w:t>
            </w:r>
            <w:r w:rsidR="00A01FB5">
              <w:t>,</w:t>
            </w:r>
            <w:r>
              <w:t xml:space="preserve"> not pdf)</w:t>
            </w:r>
          </w:p>
          <w:p w14:paraId="57104B37" w14:textId="77777777" w:rsidR="00DC3D2C" w:rsidRDefault="00DC3D2C" w:rsidP="00DC3D2C">
            <w:pPr>
              <w:pStyle w:val="ListParagraph"/>
              <w:numPr>
                <w:ilvl w:val="0"/>
                <w:numId w:val="2"/>
              </w:numPr>
            </w:pPr>
            <w:r>
              <w:t>Discipline specific</w:t>
            </w:r>
          </w:p>
          <w:p w14:paraId="27226DC0" w14:textId="77777777" w:rsidR="00DC3D2C" w:rsidRDefault="00DC3D2C" w:rsidP="00DC3D2C">
            <w:pPr>
              <w:pStyle w:val="ListParagraph"/>
              <w:numPr>
                <w:ilvl w:val="0"/>
                <w:numId w:val="2"/>
              </w:numPr>
            </w:pPr>
            <w:r>
              <w:t>Standards-based metadata</w:t>
            </w:r>
          </w:p>
        </w:tc>
        <w:tc>
          <w:tcPr>
            <w:tcW w:w="6120" w:type="dxa"/>
          </w:tcPr>
          <w:p w14:paraId="6ED92062" w14:textId="77777777" w:rsidR="00DC3D2C" w:rsidRDefault="00FF407B" w:rsidP="00FF407B">
            <w:pPr>
              <w:pStyle w:val="ListParagraph"/>
              <w:numPr>
                <w:ilvl w:val="0"/>
                <w:numId w:val="2"/>
              </w:numPr>
            </w:pPr>
            <w:r>
              <w:t>Standards organizations (ISO, NISO, ANSI)</w:t>
            </w:r>
          </w:p>
          <w:p w14:paraId="1ABC544D" w14:textId="77777777" w:rsidR="0011721E" w:rsidRPr="00FF407B" w:rsidRDefault="00A21568" w:rsidP="00FF407B">
            <w:pPr>
              <w:pStyle w:val="ListParagraph"/>
              <w:numPr>
                <w:ilvl w:val="0"/>
                <w:numId w:val="2"/>
              </w:numPr>
            </w:pPr>
            <w:r w:rsidRPr="00FF407B">
              <w:rPr>
                <w:i/>
                <w:iCs/>
              </w:rPr>
              <w:t xml:space="preserve">Digital Curation Center </w:t>
            </w:r>
            <w:r w:rsidRPr="00FF407B">
              <w:t xml:space="preserve">-- </w:t>
            </w:r>
            <w:hyperlink r:id="rId10" w:history="1">
              <w:r w:rsidRPr="00FF407B">
                <w:rPr>
                  <w:rStyle w:val="Hyperlink"/>
                </w:rPr>
                <w:t xml:space="preserve">Disciplinary Metadata | </w:t>
              </w:r>
            </w:hyperlink>
            <w:hyperlink r:id="rId11" w:history="1">
              <w:r w:rsidRPr="00FF407B">
                <w:rPr>
                  <w:rStyle w:val="Hyperlink"/>
                </w:rPr>
                <w:t>DCC</w:t>
              </w:r>
            </w:hyperlink>
          </w:p>
          <w:p w14:paraId="45FADBD3" w14:textId="2F103D5E" w:rsidR="00FF407B" w:rsidRDefault="00FF407B" w:rsidP="00FF407B">
            <w:pPr>
              <w:pStyle w:val="ListParagraph"/>
              <w:numPr>
                <w:ilvl w:val="0"/>
                <w:numId w:val="2"/>
              </w:numPr>
            </w:pPr>
            <w:r>
              <w:t>Controlled vocabularies (ICASA, NALT…</w:t>
            </w:r>
            <w:r w:rsidR="00266033">
              <w:t xml:space="preserve"> use non-proprietary to the extent possible</w:t>
            </w:r>
            <w:r>
              <w:t>)</w:t>
            </w:r>
          </w:p>
        </w:tc>
      </w:tr>
    </w:tbl>
    <w:p w14:paraId="1D26F0AF" w14:textId="77777777" w:rsidR="00DC3D2C" w:rsidRPr="009502AA" w:rsidRDefault="00DC3D2C" w:rsidP="00DC3D2C">
      <w:pPr>
        <w:pStyle w:val="Heading1"/>
        <w:rPr>
          <w:b/>
          <w:bCs/>
          <w:color w:val="auto"/>
        </w:rPr>
      </w:pPr>
      <w:r w:rsidRPr="009502AA">
        <w:rPr>
          <w:b/>
          <w:bCs/>
          <w:color w:val="auto"/>
        </w:rPr>
        <w:t>Section 3: data storage and preservation</w:t>
      </w:r>
      <w:r w:rsidR="00641C5C" w:rsidRPr="009502AA">
        <w:rPr>
          <w:b/>
          <w:bCs/>
          <w:color w:val="auto"/>
        </w:rPr>
        <w:t xml:space="preserve"> of access</w:t>
      </w:r>
    </w:p>
    <w:tbl>
      <w:tblPr>
        <w:tblStyle w:val="TableGrid"/>
        <w:tblW w:w="10795" w:type="dxa"/>
        <w:tblLook w:val="04A0" w:firstRow="1" w:lastRow="0" w:firstColumn="1" w:lastColumn="0" w:noHBand="0" w:noVBand="1"/>
      </w:tblPr>
      <w:tblGrid>
        <w:gridCol w:w="4675"/>
        <w:gridCol w:w="6120"/>
      </w:tblGrid>
      <w:tr w:rsidR="00DC3D2C" w14:paraId="08577F9E" w14:textId="77777777" w:rsidTr="00A11060">
        <w:tc>
          <w:tcPr>
            <w:tcW w:w="4675" w:type="dxa"/>
            <w:shd w:val="clear" w:color="auto" w:fill="D9D9D9" w:themeFill="background1" w:themeFillShade="D9"/>
          </w:tcPr>
          <w:p w14:paraId="79EC2238" w14:textId="77777777" w:rsidR="00DC3D2C" w:rsidRPr="00DC3D2C" w:rsidRDefault="00DC3D2C" w:rsidP="00DC3D2C">
            <w:pPr>
              <w:rPr>
                <w:b/>
              </w:rPr>
            </w:pPr>
            <w:r>
              <w:rPr>
                <w:b/>
              </w:rPr>
              <w:t>What to expect</w:t>
            </w:r>
          </w:p>
        </w:tc>
        <w:tc>
          <w:tcPr>
            <w:tcW w:w="6120" w:type="dxa"/>
            <w:shd w:val="clear" w:color="auto" w:fill="D9D9D9" w:themeFill="background1" w:themeFillShade="D9"/>
          </w:tcPr>
          <w:p w14:paraId="72E9A478" w14:textId="77777777" w:rsidR="00DC3D2C" w:rsidRPr="00DC3D2C" w:rsidRDefault="00DC3D2C" w:rsidP="00DC3D2C">
            <w:pPr>
              <w:rPr>
                <w:b/>
              </w:rPr>
            </w:pPr>
            <w:r>
              <w:rPr>
                <w:b/>
              </w:rPr>
              <w:t>Tips/Resources</w:t>
            </w:r>
          </w:p>
        </w:tc>
      </w:tr>
      <w:tr w:rsidR="00DC3D2C" w14:paraId="7D0A1C4F" w14:textId="77777777" w:rsidTr="00A11060">
        <w:tc>
          <w:tcPr>
            <w:tcW w:w="4675" w:type="dxa"/>
          </w:tcPr>
          <w:p w14:paraId="1FC772CB" w14:textId="286A7F0E" w:rsidR="00DC3D2C" w:rsidRDefault="00DC3D2C" w:rsidP="00DC3D2C">
            <w:pPr>
              <w:pStyle w:val="ListParagraph"/>
              <w:numPr>
                <w:ilvl w:val="0"/>
                <w:numId w:val="3"/>
              </w:numPr>
            </w:pPr>
            <w:r>
              <w:t>Access during active research phase</w:t>
            </w:r>
            <w:r w:rsidR="00266033">
              <w:t xml:space="preserve"> (likely more limited than at point of publication)</w:t>
            </w:r>
          </w:p>
          <w:p w14:paraId="418B9789" w14:textId="77777777" w:rsidR="00DC3D2C" w:rsidRDefault="00DC3D2C" w:rsidP="00DC3D2C">
            <w:pPr>
              <w:pStyle w:val="ListParagraph"/>
              <w:numPr>
                <w:ilvl w:val="0"/>
                <w:numId w:val="3"/>
              </w:numPr>
            </w:pPr>
            <w:r>
              <w:t>Back-up plans</w:t>
            </w:r>
          </w:p>
          <w:p w14:paraId="234128AE" w14:textId="77777777" w:rsidR="00DC3D2C" w:rsidRDefault="00DC3D2C" w:rsidP="00DC3D2C">
            <w:pPr>
              <w:pStyle w:val="ListParagraph"/>
              <w:numPr>
                <w:ilvl w:val="0"/>
                <w:numId w:val="3"/>
              </w:numPr>
            </w:pPr>
            <w:r>
              <w:t>Data maintenance period (raw vs processed)</w:t>
            </w:r>
          </w:p>
          <w:p w14:paraId="42360A6D" w14:textId="77777777" w:rsidR="00DC3D2C" w:rsidRDefault="00DC3D2C" w:rsidP="00DC3D2C">
            <w:pPr>
              <w:pStyle w:val="ListParagraph"/>
              <w:numPr>
                <w:ilvl w:val="0"/>
                <w:numId w:val="3"/>
              </w:numPr>
            </w:pPr>
            <w:r>
              <w:t xml:space="preserve">Repository for long-term </w:t>
            </w:r>
            <w:r w:rsidR="00266033">
              <w:t xml:space="preserve">preservation and public </w:t>
            </w:r>
            <w:r>
              <w:t>access</w:t>
            </w:r>
          </w:p>
          <w:p w14:paraId="15C260BF" w14:textId="56A107CF" w:rsidR="00266033" w:rsidRDefault="00266033" w:rsidP="00DC3D2C">
            <w:pPr>
              <w:pStyle w:val="ListParagraph"/>
              <w:numPr>
                <w:ilvl w:val="0"/>
                <w:numId w:val="3"/>
              </w:numPr>
            </w:pPr>
            <w:r>
              <w:t>Ease-of-use repositories to be prioritized</w:t>
            </w:r>
          </w:p>
        </w:tc>
        <w:tc>
          <w:tcPr>
            <w:tcW w:w="6120" w:type="dxa"/>
          </w:tcPr>
          <w:p w14:paraId="5D064871" w14:textId="392C1393" w:rsidR="00A21568" w:rsidRDefault="00A21568" w:rsidP="00FF407B">
            <w:pPr>
              <w:pStyle w:val="ListParagraph"/>
              <w:numPr>
                <w:ilvl w:val="0"/>
                <w:numId w:val="3"/>
              </w:numPr>
            </w:pPr>
            <w:r>
              <w:t xml:space="preserve">Discipline-specific repository </w:t>
            </w:r>
            <w:proofErr w:type="gramStart"/>
            <w:r>
              <w:t>recommended;</w:t>
            </w:r>
            <w:proofErr w:type="gramEnd"/>
            <w:r>
              <w:t xml:space="preserve"> Ag Data Commons or </w:t>
            </w:r>
            <w:proofErr w:type="gramStart"/>
            <w:r>
              <w:t>other</w:t>
            </w:r>
            <w:proofErr w:type="gramEnd"/>
            <w:r>
              <w:t xml:space="preserve"> generalist repository as an alternative</w:t>
            </w:r>
          </w:p>
          <w:p w14:paraId="5515F4B6" w14:textId="77777777" w:rsidR="00DC3D2C" w:rsidRDefault="0048276E" w:rsidP="00FF407B">
            <w:pPr>
              <w:pStyle w:val="ListParagraph"/>
              <w:numPr>
                <w:ilvl w:val="0"/>
                <w:numId w:val="3"/>
              </w:numPr>
            </w:pPr>
            <w:r>
              <w:t>Recognized repository listings</w:t>
            </w:r>
            <w:r w:rsidR="00FF407B">
              <w:t xml:space="preserve">: re3data.org; FAIRsharing.org; </w:t>
            </w:r>
            <w:proofErr w:type="spellStart"/>
            <w:r w:rsidR="00FF407B">
              <w:t>DataSeer</w:t>
            </w:r>
            <w:proofErr w:type="spellEnd"/>
            <w:r w:rsidR="00FF407B">
              <w:t xml:space="preserve">; </w:t>
            </w:r>
            <w:proofErr w:type="spellStart"/>
            <w:r w:rsidR="00FF407B">
              <w:t>OpenDOAR</w:t>
            </w:r>
            <w:proofErr w:type="spellEnd"/>
            <w:r w:rsidR="00FF407B">
              <w:t>; publisher recommended</w:t>
            </w:r>
          </w:p>
          <w:p w14:paraId="4659C5E7" w14:textId="77777777" w:rsidR="00FF407B" w:rsidRDefault="00522E35" w:rsidP="00FF407B">
            <w:pPr>
              <w:pStyle w:val="ListParagraph"/>
              <w:numPr>
                <w:ilvl w:val="0"/>
                <w:numId w:val="3"/>
              </w:numPr>
            </w:pPr>
            <w:r>
              <w:t>Institutionally supported repository</w:t>
            </w:r>
          </w:p>
        </w:tc>
      </w:tr>
    </w:tbl>
    <w:p w14:paraId="07ED0A66" w14:textId="3F3290C6" w:rsidR="00DC3D2C" w:rsidRPr="009502AA" w:rsidRDefault="00DD0756" w:rsidP="00DD0756">
      <w:pPr>
        <w:pStyle w:val="Heading1"/>
        <w:rPr>
          <w:b/>
          <w:bCs/>
          <w:color w:val="auto"/>
        </w:rPr>
      </w:pPr>
      <w:r w:rsidRPr="009502AA">
        <w:rPr>
          <w:b/>
          <w:bCs/>
          <w:color w:val="auto"/>
        </w:rPr>
        <w:t>Section 4: Data sharing</w:t>
      </w:r>
      <w:r w:rsidR="00C050AD" w:rsidRPr="009502AA">
        <w:rPr>
          <w:b/>
          <w:bCs/>
          <w:color w:val="auto"/>
        </w:rPr>
        <w:t xml:space="preserve"> And Public Access</w:t>
      </w:r>
    </w:p>
    <w:tbl>
      <w:tblPr>
        <w:tblStyle w:val="TableGrid"/>
        <w:tblW w:w="10795" w:type="dxa"/>
        <w:tblLook w:val="04A0" w:firstRow="1" w:lastRow="0" w:firstColumn="1" w:lastColumn="0" w:noHBand="0" w:noVBand="1"/>
      </w:tblPr>
      <w:tblGrid>
        <w:gridCol w:w="4675"/>
        <w:gridCol w:w="6120"/>
      </w:tblGrid>
      <w:tr w:rsidR="00DD0756" w14:paraId="188D8048" w14:textId="77777777" w:rsidTr="2D4D3F8C">
        <w:tc>
          <w:tcPr>
            <w:tcW w:w="4675" w:type="dxa"/>
            <w:shd w:val="clear" w:color="auto" w:fill="D9D9D9" w:themeFill="background1" w:themeFillShade="D9"/>
          </w:tcPr>
          <w:p w14:paraId="2BB49CBC" w14:textId="77777777" w:rsidR="00DD0756" w:rsidRPr="00DD0756" w:rsidRDefault="00DD0756" w:rsidP="00C612CA">
            <w:pPr>
              <w:rPr>
                <w:b/>
              </w:rPr>
            </w:pPr>
            <w:r>
              <w:rPr>
                <w:b/>
              </w:rPr>
              <w:t>What to expect</w:t>
            </w:r>
          </w:p>
        </w:tc>
        <w:tc>
          <w:tcPr>
            <w:tcW w:w="6120" w:type="dxa"/>
            <w:shd w:val="clear" w:color="auto" w:fill="D9D9D9" w:themeFill="background1" w:themeFillShade="D9"/>
          </w:tcPr>
          <w:p w14:paraId="4AED9C2E" w14:textId="77777777" w:rsidR="00DD0756" w:rsidRPr="00DD0756" w:rsidRDefault="00DD0756" w:rsidP="00C612CA">
            <w:pPr>
              <w:rPr>
                <w:b/>
              </w:rPr>
            </w:pPr>
            <w:r>
              <w:rPr>
                <w:b/>
              </w:rPr>
              <w:t>Tips/Resources</w:t>
            </w:r>
          </w:p>
        </w:tc>
      </w:tr>
      <w:tr w:rsidR="00DD0756" w14:paraId="6B6F60AC" w14:textId="77777777" w:rsidTr="2D4D3F8C">
        <w:tc>
          <w:tcPr>
            <w:tcW w:w="4675" w:type="dxa"/>
          </w:tcPr>
          <w:p w14:paraId="077F0F65" w14:textId="77777777" w:rsidR="00DD0756" w:rsidRDefault="00DD0756" w:rsidP="00DD0756">
            <w:pPr>
              <w:pStyle w:val="ListParagraph"/>
              <w:numPr>
                <w:ilvl w:val="0"/>
                <w:numId w:val="4"/>
              </w:numPr>
            </w:pPr>
            <w:r>
              <w:t>Privacy and ethical issues</w:t>
            </w:r>
          </w:p>
          <w:p w14:paraId="307E42E0" w14:textId="6AF7C71D" w:rsidR="00DD0756" w:rsidRDefault="00DD0756" w:rsidP="00DD0756">
            <w:pPr>
              <w:pStyle w:val="ListParagraph"/>
              <w:numPr>
                <w:ilvl w:val="0"/>
                <w:numId w:val="4"/>
              </w:numPr>
            </w:pPr>
            <w:r>
              <w:t xml:space="preserve">When and what data </w:t>
            </w:r>
            <w:r w:rsidR="008604E2">
              <w:t xml:space="preserve">are </w:t>
            </w:r>
            <w:r>
              <w:t>shared</w:t>
            </w:r>
          </w:p>
          <w:p w14:paraId="76D85327" w14:textId="31956B1E" w:rsidR="00FF407B" w:rsidRDefault="00FF407B" w:rsidP="00DD0756">
            <w:pPr>
              <w:pStyle w:val="ListParagraph"/>
              <w:numPr>
                <w:ilvl w:val="0"/>
                <w:numId w:val="4"/>
              </w:numPr>
            </w:pPr>
            <w:r w:rsidRPr="00FF407B">
              <w:rPr>
                <w:i/>
                <w:u w:val="single"/>
              </w:rPr>
              <w:t>Specifically</w:t>
            </w:r>
            <w:r>
              <w:t xml:space="preserve"> – when </w:t>
            </w:r>
            <w:r w:rsidR="008604E2">
              <w:t xml:space="preserve">are </w:t>
            </w:r>
            <w:r>
              <w:t xml:space="preserve">data collection considered complete </w:t>
            </w:r>
            <w:r w:rsidR="008356FB">
              <w:t xml:space="preserve">AND waiver requests to extend embargo period </w:t>
            </w:r>
            <w:r w:rsidR="008356FB" w:rsidRPr="00762EFD">
              <w:t xml:space="preserve">beyond </w:t>
            </w:r>
            <w:r w:rsidR="0032350A" w:rsidRPr="00762EFD">
              <w:t>12</w:t>
            </w:r>
            <w:r w:rsidR="008356FB" w:rsidRPr="00762EFD">
              <w:t xml:space="preserve"> months</w:t>
            </w:r>
          </w:p>
          <w:p w14:paraId="63FAFFD1" w14:textId="4318C1A4" w:rsidR="00DD0756" w:rsidRDefault="00DD0756" w:rsidP="00DD0756">
            <w:pPr>
              <w:pStyle w:val="ListParagraph"/>
              <w:numPr>
                <w:ilvl w:val="0"/>
                <w:numId w:val="4"/>
              </w:numPr>
            </w:pPr>
            <w:r>
              <w:t>Public access</w:t>
            </w:r>
            <w:r w:rsidR="00266033">
              <w:t xml:space="preserve">, </w:t>
            </w:r>
            <w:r>
              <w:t>discovery</w:t>
            </w:r>
            <w:r w:rsidR="00266033">
              <w:t xml:space="preserve">, </w:t>
            </w:r>
            <w:r w:rsidR="00A01FB5">
              <w:t>&amp;</w:t>
            </w:r>
            <w:r w:rsidR="00266033">
              <w:t xml:space="preserve"> re-use</w:t>
            </w:r>
            <w:r w:rsidR="00A01FB5">
              <w:t xml:space="preserve"> restrictions</w:t>
            </w:r>
          </w:p>
          <w:p w14:paraId="2F34F07C" w14:textId="27C986AC" w:rsidR="00DD0756" w:rsidRDefault="00A01FB5" w:rsidP="00DD0756">
            <w:pPr>
              <w:pStyle w:val="ListParagraph"/>
              <w:numPr>
                <w:ilvl w:val="0"/>
                <w:numId w:val="4"/>
              </w:numPr>
            </w:pPr>
            <w:r>
              <w:t>Sharing allowed for a</w:t>
            </w:r>
            <w:r w:rsidR="00DD0756">
              <w:t>ny 3</w:t>
            </w:r>
            <w:r w:rsidR="00DD0756" w:rsidRPr="00DD0756">
              <w:rPr>
                <w:vertAlign w:val="superscript"/>
              </w:rPr>
              <w:t>rd</w:t>
            </w:r>
            <w:r w:rsidR="00DD0756">
              <w:t xml:space="preserve"> party data used</w:t>
            </w:r>
          </w:p>
        </w:tc>
        <w:tc>
          <w:tcPr>
            <w:tcW w:w="6120" w:type="dxa"/>
          </w:tcPr>
          <w:p w14:paraId="1A2F428E" w14:textId="5AD48E4E" w:rsidR="2D4D3F8C" w:rsidRDefault="2D4D3F8C" w:rsidP="2D4D3F8C">
            <w:pPr>
              <w:pStyle w:val="ListParagraph"/>
              <w:numPr>
                <w:ilvl w:val="0"/>
                <w:numId w:val="4"/>
              </w:numPr>
            </w:pPr>
            <w:r w:rsidRPr="2D4D3F8C">
              <w:rPr>
                <w:i/>
                <w:iCs/>
              </w:rPr>
              <w:t>Unique to ARS</w:t>
            </w:r>
            <w:r>
              <w:t xml:space="preserve"> – requirement to indicate when data collection is considered complete, as this starts a 12-month clock for public release</w:t>
            </w:r>
          </w:p>
          <w:p w14:paraId="1EA3A0B6" w14:textId="0689DDA1" w:rsidR="00522E35" w:rsidRPr="00762EFD" w:rsidRDefault="00641C5C" w:rsidP="00522E35">
            <w:pPr>
              <w:pStyle w:val="ListParagraph"/>
              <w:numPr>
                <w:ilvl w:val="0"/>
                <w:numId w:val="4"/>
              </w:numPr>
            </w:pPr>
            <w:r w:rsidRPr="00762EFD">
              <w:t xml:space="preserve">Most data generated by ARS will fall under </w:t>
            </w:r>
            <w:r w:rsidR="00A01FB5" w:rsidRPr="00762EFD">
              <w:t xml:space="preserve">US or </w:t>
            </w:r>
            <w:proofErr w:type="spellStart"/>
            <w:r w:rsidRPr="00762EFD">
              <w:t>CCZero</w:t>
            </w:r>
            <w:proofErr w:type="spellEnd"/>
            <w:r w:rsidRPr="00762EFD">
              <w:t xml:space="preserve"> public </w:t>
            </w:r>
            <w:proofErr w:type="gramStart"/>
            <w:r w:rsidR="00A01FB5" w:rsidRPr="00762EFD">
              <w:t>domain;</w:t>
            </w:r>
            <w:proofErr w:type="gramEnd"/>
            <w:r w:rsidR="00A01FB5" w:rsidRPr="00762EFD">
              <w:t xml:space="preserve"> i.e. no restrictions on re-use</w:t>
            </w:r>
          </w:p>
          <w:p w14:paraId="52F3BB90" w14:textId="5D888BBA" w:rsidR="008356FB" w:rsidRDefault="008356FB" w:rsidP="00522E35">
            <w:pPr>
              <w:pStyle w:val="ListParagraph"/>
              <w:numPr>
                <w:ilvl w:val="0"/>
                <w:numId w:val="4"/>
              </w:numPr>
            </w:pPr>
            <w:r w:rsidRPr="00762EFD">
              <w:t xml:space="preserve">Waiver is needed to extend embargo period beyond </w:t>
            </w:r>
            <w:r w:rsidR="00983B1D" w:rsidRPr="00762EFD">
              <w:t>12</w:t>
            </w:r>
            <w:r>
              <w:t xml:space="preserve"> months </w:t>
            </w:r>
          </w:p>
        </w:tc>
      </w:tr>
    </w:tbl>
    <w:p w14:paraId="2ADC8CC3" w14:textId="77777777" w:rsidR="00C612CA" w:rsidRPr="009502AA" w:rsidRDefault="00DD0756" w:rsidP="00DD0756">
      <w:pPr>
        <w:pStyle w:val="Heading1"/>
        <w:rPr>
          <w:b/>
          <w:bCs/>
          <w:color w:val="auto"/>
        </w:rPr>
      </w:pPr>
      <w:r w:rsidRPr="009502AA">
        <w:rPr>
          <w:b/>
          <w:bCs/>
          <w:color w:val="auto"/>
        </w:rPr>
        <w:t>Section 5: roles and responsibilities</w:t>
      </w:r>
    </w:p>
    <w:tbl>
      <w:tblPr>
        <w:tblStyle w:val="TableGrid"/>
        <w:tblW w:w="10795" w:type="dxa"/>
        <w:tblLook w:val="04A0" w:firstRow="1" w:lastRow="0" w:firstColumn="1" w:lastColumn="0" w:noHBand="0" w:noVBand="1"/>
      </w:tblPr>
      <w:tblGrid>
        <w:gridCol w:w="4675"/>
        <w:gridCol w:w="6120"/>
      </w:tblGrid>
      <w:tr w:rsidR="00DD0756" w14:paraId="2AE800C6" w14:textId="77777777" w:rsidTr="00A11060">
        <w:tc>
          <w:tcPr>
            <w:tcW w:w="4675" w:type="dxa"/>
            <w:shd w:val="clear" w:color="auto" w:fill="D9D9D9" w:themeFill="background1" w:themeFillShade="D9"/>
          </w:tcPr>
          <w:p w14:paraId="6A10EC6E" w14:textId="77777777" w:rsidR="00DD0756" w:rsidRPr="00DD0756" w:rsidRDefault="00DD0756" w:rsidP="00DD0756">
            <w:pPr>
              <w:rPr>
                <w:b/>
              </w:rPr>
            </w:pPr>
            <w:r>
              <w:rPr>
                <w:b/>
              </w:rPr>
              <w:t>What to expect</w:t>
            </w:r>
          </w:p>
        </w:tc>
        <w:tc>
          <w:tcPr>
            <w:tcW w:w="6120" w:type="dxa"/>
            <w:shd w:val="clear" w:color="auto" w:fill="D9D9D9" w:themeFill="background1" w:themeFillShade="D9"/>
          </w:tcPr>
          <w:p w14:paraId="264B1EC4" w14:textId="77777777" w:rsidR="00DD0756" w:rsidRPr="00DD0756" w:rsidRDefault="00DD0756" w:rsidP="00DD0756">
            <w:pPr>
              <w:rPr>
                <w:b/>
              </w:rPr>
            </w:pPr>
            <w:r>
              <w:rPr>
                <w:b/>
              </w:rPr>
              <w:t>Tips/Resources</w:t>
            </w:r>
          </w:p>
        </w:tc>
      </w:tr>
      <w:tr w:rsidR="00DD0756" w14:paraId="30252FFD" w14:textId="77777777" w:rsidTr="00A11060">
        <w:tc>
          <w:tcPr>
            <w:tcW w:w="4675" w:type="dxa"/>
          </w:tcPr>
          <w:p w14:paraId="21726EEB" w14:textId="77777777" w:rsidR="00DD0756" w:rsidRDefault="00DD0756" w:rsidP="00DD0756">
            <w:pPr>
              <w:pStyle w:val="ListParagraph"/>
              <w:numPr>
                <w:ilvl w:val="0"/>
                <w:numId w:val="5"/>
              </w:numPr>
            </w:pPr>
            <w:r>
              <w:t>Description of staff expertise</w:t>
            </w:r>
          </w:p>
          <w:p w14:paraId="3E15EFAF" w14:textId="1FFA1B92" w:rsidR="00DD0756" w:rsidRDefault="00DD0756" w:rsidP="00DD0756">
            <w:pPr>
              <w:pStyle w:val="ListParagraph"/>
              <w:numPr>
                <w:ilvl w:val="0"/>
                <w:numId w:val="5"/>
              </w:numPr>
            </w:pPr>
            <w:r>
              <w:t>Succession plan for key staff turnover</w:t>
            </w:r>
            <w:r w:rsidR="00266033">
              <w:t>; or possible location changes</w:t>
            </w:r>
          </w:p>
        </w:tc>
        <w:tc>
          <w:tcPr>
            <w:tcW w:w="6120" w:type="dxa"/>
          </w:tcPr>
          <w:p w14:paraId="6A98DCE5" w14:textId="77777777" w:rsidR="00DD0756" w:rsidRDefault="00641C5C" w:rsidP="00641C5C">
            <w:pPr>
              <w:pStyle w:val="ListParagraph"/>
              <w:numPr>
                <w:ilvl w:val="0"/>
                <w:numId w:val="5"/>
              </w:numPr>
            </w:pPr>
            <w:r>
              <w:t>Who has primary responsibility to implement the data management plan</w:t>
            </w:r>
            <w:r w:rsidR="00F806B0">
              <w:t>?</w:t>
            </w:r>
          </w:p>
          <w:p w14:paraId="055F329C" w14:textId="77777777" w:rsidR="00641C5C" w:rsidRDefault="00641C5C" w:rsidP="00641C5C">
            <w:pPr>
              <w:pStyle w:val="ListParagraph"/>
              <w:numPr>
                <w:ilvl w:val="0"/>
                <w:numId w:val="5"/>
              </w:numPr>
            </w:pPr>
            <w:r>
              <w:t>Define the roles of the data team</w:t>
            </w:r>
          </w:p>
        </w:tc>
      </w:tr>
    </w:tbl>
    <w:p w14:paraId="1DAEC1EC" w14:textId="77777777" w:rsidR="00DD0756" w:rsidRPr="009502AA" w:rsidRDefault="00DD0756" w:rsidP="00DD0756">
      <w:pPr>
        <w:pStyle w:val="Heading1"/>
        <w:rPr>
          <w:b/>
          <w:bCs/>
          <w:color w:val="auto"/>
        </w:rPr>
      </w:pPr>
      <w:r w:rsidRPr="009502AA">
        <w:rPr>
          <w:b/>
          <w:bCs/>
          <w:color w:val="auto"/>
        </w:rPr>
        <w:t>section 6: Monitoring and reporting</w:t>
      </w:r>
    </w:p>
    <w:tbl>
      <w:tblPr>
        <w:tblStyle w:val="TableGrid"/>
        <w:tblW w:w="10795" w:type="dxa"/>
        <w:tblLook w:val="04A0" w:firstRow="1" w:lastRow="0" w:firstColumn="1" w:lastColumn="0" w:noHBand="0" w:noVBand="1"/>
      </w:tblPr>
      <w:tblGrid>
        <w:gridCol w:w="4675"/>
        <w:gridCol w:w="6120"/>
      </w:tblGrid>
      <w:tr w:rsidR="00DD0756" w14:paraId="6DBE54FB" w14:textId="77777777" w:rsidTr="00A11060">
        <w:trPr>
          <w:trHeight w:val="296"/>
        </w:trPr>
        <w:tc>
          <w:tcPr>
            <w:tcW w:w="4675" w:type="dxa"/>
            <w:shd w:val="clear" w:color="auto" w:fill="D9D9D9" w:themeFill="background1" w:themeFillShade="D9"/>
          </w:tcPr>
          <w:p w14:paraId="54523960" w14:textId="77777777" w:rsidR="00DD0756" w:rsidRPr="00DD0756" w:rsidRDefault="00DD0756" w:rsidP="00DD0756">
            <w:pPr>
              <w:rPr>
                <w:b/>
              </w:rPr>
            </w:pPr>
            <w:r>
              <w:rPr>
                <w:b/>
              </w:rPr>
              <w:t>What to expect</w:t>
            </w:r>
          </w:p>
        </w:tc>
        <w:tc>
          <w:tcPr>
            <w:tcW w:w="6120" w:type="dxa"/>
            <w:shd w:val="clear" w:color="auto" w:fill="D9D9D9" w:themeFill="background1" w:themeFillShade="D9"/>
          </w:tcPr>
          <w:p w14:paraId="716FEC04" w14:textId="77777777" w:rsidR="00DD0756" w:rsidRPr="00DD0756" w:rsidRDefault="00DD0756" w:rsidP="00DD0756">
            <w:pPr>
              <w:rPr>
                <w:b/>
              </w:rPr>
            </w:pPr>
            <w:r>
              <w:rPr>
                <w:b/>
              </w:rPr>
              <w:t>Tips/Resources</w:t>
            </w:r>
          </w:p>
        </w:tc>
      </w:tr>
      <w:tr w:rsidR="00DD0756" w14:paraId="6DFEBB18" w14:textId="77777777" w:rsidTr="00A11060">
        <w:trPr>
          <w:trHeight w:val="1151"/>
        </w:trPr>
        <w:tc>
          <w:tcPr>
            <w:tcW w:w="4675" w:type="dxa"/>
          </w:tcPr>
          <w:p w14:paraId="39CF0105" w14:textId="4B3E5FCA" w:rsidR="00DD0756" w:rsidRPr="00266033" w:rsidRDefault="00DD0756" w:rsidP="00DD0756">
            <w:pPr>
              <w:pStyle w:val="ListParagraph"/>
              <w:numPr>
                <w:ilvl w:val="0"/>
                <w:numId w:val="6"/>
              </w:numPr>
            </w:pPr>
            <w:r w:rsidRPr="00266033">
              <w:t>Annual reporting</w:t>
            </w:r>
            <w:r w:rsidR="00266033">
              <w:t xml:space="preserve"> of project accomplishments</w:t>
            </w:r>
          </w:p>
          <w:p w14:paraId="5566DC94" w14:textId="77777777" w:rsidR="00DD0756" w:rsidRDefault="00DD0756" w:rsidP="00DD0756">
            <w:pPr>
              <w:pStyle w:val="ListParagraph"/>
              <w:numPr>
                <w:ilvl w:val="0"/>
                <w:numId w:val="6"/>
              </w:numPr>
            </w:pPr>
            <w:r>
              <w:t xml:space="preserve">Assigning </w:t>
            </w:r>
            <w:proofErr w:type="gramStart"/>
            <w:r>
              <w:t>DOI’s</w:t>
            </w:r>
            <w:proofErr w:type="gramEnd"/>
            <w:r>
              <w:t xml:space="preserve"> for data citation</w:t>
            </w:r>
          </w:p>
          <w:p w14:paraId="662909B5" w14:textId="77777777" w:rsidR="00DD0756" w:rsidRDefault="00DD0756" w:rsidP="00DD0756">
            <w:pPr>
              <w:pStyle w:val="ListParagraph"/>
              <w:numPr>
                <w:ilvl w:val="0"/>
                <w:numId w:val="6"/>
              </w:numPr>
            </w:pPr>
            <w:r>
              <w:t>Entering records into the Ag Data Commons</w:t>
            </w:r>
          </w:p>
          <w:p w14:paraId="4F664CD4" w14:textId="77777777" w:rsidR="00DD0756" w:rsidRDefault="00DD0756" w:rsidP="00DD0756">
            <w:pPr>
              <w:pStyle w:val="ListParagraph"/>
              <w:numPr>
                <w:ilvl w:val="0"/>
                <w:numId w:val="6"/>
              </w:numPr>
            </w:pPr>
            <w:r w:rsidRPr="00266033">
              <w:t>Annual review of the DMP</w:t>
            </w:r>
          </w:p>
        </w:tc>
        <w:tc>
          <w:tcPr>
            <w:tcW w:w="6120" w:type="dxa"/>
          </w:tcPr>
          <w:p w14:paraId="229E4652" w14:textId="77777777" w:rsidR="00DD0756" w:rsidRDefault="00620587" w:rsidP="00620587">
            <w:pPr>
              <w:pStyle w:val="ListParagraph"/>
              <w:numPr>
                <w:ilvl w:val="0"/>
                <w:numId w:val="6"/>
              </w:numPr>
            </w:pPr>
            <w:r>
              <w:t>Many repositories issue DOI’s.  NAL can assist if needed.</w:t>
            </w:r>
          </w:p>
          <w:p w14:paraId="2CFC8172" w14:textId="77777777" w:rsidR="00641C5C" w:rsidRDefault="00641C5C" w:rsidP="00641C5C">
            <w:pPr>
              <w:pStyle w:val="ListParagraph"/>
              <w:numPr>
                <w:ilvl w:val="0"/>
                <w:numId w:val="6"/>
              </w:numPr>
            </w:pPr>
            <w:r>
              <w:t>Use of discipline specific repositories is encouraged – in all cases a catalog record of the data is entered into the Ag Data Commons for compliance reporting</w:t>
            </w:r>
          </w:p>
        </w:tc>
      </w:tr>
    </w:tbl>
    <w:p w14:paraId="218CAD03" w14:textId="77777777" w:rsidR="00A11060" w:rsidRDefault="00A11060" w:rsidP="00266033">
      <w:pPr>
        <w:pStyle w:val="Heading1"/>
      </w:pPr>
    </w:p>
    <w:p w14:paraId="2AC557D0" w14:textId="77777777" w:rsidR="00A11060" w:rsidRDefault="00A11060">
      <w:pPr>
        <w:rPr>
          <w:caps/>
          <w:color w:val="FFFFFF" w:themeColor="background1"/>
          <w:spacing w:val="15"/>
          <w:sz w:val="22"/>
          <w:szCs w:val="22"/>
        </w:rPr>
      </w:pPr>
      <w:r>
        <w:br w:type="page"/>
      </w:r>
    </w:p>
    <w:p w14:paraId="6917D2F1" w14:textId="2CD60D34" w:rsidR="00266033" w:rsidRPr="009502AA" w:rsidRDefault="00266033" w:rsidP="00266033">
      <w:pPr>
        <w:pStyle w:val="Heading1"/>
        <w:rPr>
          <w:b/>
          <w:bCs/>
          <w:color w:val="auto"/>
        </w:rPr>
      </w:pPr>
      <w:r w:rsidRPr="009502AA">
        <w:rPr>
          <w:b/>
          <w:bCs/>
          <w:color w:val="auto"/>
        </w:rPr>
        <w:lastRenderedPageBreak/>
        <w:t>Example repositories</w:t>
      </w:r>
    </w:p>
    <w:tbl>
      <w:tblPr>
        <w:tblStyle w:val="TableGrid"/>
        <w:tblW w:w="10795" w:type="dxa"/>
        <w:tblLook w:val="04A0" w:firstRow="1" w:lastRow="0" w:firstColumn="1" w:lastColumn="0" w:noHBand="0" w:noVBand="1"/>
      </w:tblPr>
      <w:tblGrid>
        <w:gridCol w:w="3325"/>
        <w:gridCol w:w="7470"/>
      </w:tblGrid>
      <w:tr w:rsidR="00266033" w14:paraId="68432DBA" w14:textId="77777777" w:rsidTr="00A11060">
        <w:tc>
          <w:tcPr>
            <w:tcW w:w="3325" w:type="dxa"/>
            <w:shd w:val="clear" w:color="auto" w:fill="D9D9D9" w:themeFill="background1" w:themeFillShade="D9"/>
          </w:tcPr>
          <w:p w14:paraId="5E8AAE5F" w14:textId="0FBDF7D3" w:rsidR="00266033" w:rsidRPr="00A11060" w:rsidRDefault="00895196" w:rsidP="00266033">
            <w:pPr>
              <w:rPr>
                <w:b/>
                <w:bCs/>
              </w:rPr>
            </w:pPr>
            <w:r>
              <w:rPr>
                <w:b/>
                <w:bCs/>
              </w:rPr>
              <w:t>Repository</w:t>
            </w:r>
          </w:p>
        </w:tc>
        <w:tc>
          <w:tcPr>
            <w:tcW w:w="7470" w:type="dxa"/>
            <w:shd w:val="clear" w:color="auto" w:fill="D9D9D9" w:themeFill="background1" w:themeFillShade="D9"/>
          </w:tcPr>
          <w:p w14:paraId="09504A68" w14:textId="22C9C27A" w:rsidR="00266033" w:rsidRPr="00A11060" w:rsidRDefault="00895196" w:rsidP="00266033">
            <w:pPr>
              <w:rPr>
                <w:b/>
                <w:bCs/>
              </w:rPr>
            </w:pPr>
            <w:r>
              <w:rPr>
                <w:b/>
                <w:bCs/>
              </w:rPr>
              <w:t>Description</w:t>
            </w:r>
          </w:p>
        </w:tc>
      </w:tr>
      <w:tr w:rsidR="00876358" w14:paraId="6C3D7A35" w14:textId="77777777" w:rsidTr="00A11060">
        <w:tc>
          <w:tcPr>
            <w:tcW w:w="3325" w:type="dxa"/>
            <w:shd w:val="clear" w:color="auto" w:fill="F7EFDE" w:themeFill="accent4" w:themeFillTint="33"/>
          </w:tcPr>
          <w:p w14:paraId="1035CCE7" w14:textId="77777777" w:rsidR="00876358" w:rsidRDefault="00876358" w:rsidP="00266033">
            <w:pPr>
              <w:rPr>
                <w:b/>
                <w:bCs/>
              </w:rPr>
            </w:pPr>
            <w:r>
              <w:rPr>
                <w:b/>
                <w:bCs/>
              </w:rPr>
              <w:t>Is the Repository Listed:</w:t>
            </w:r>
          </w:p>
          <w:p w14:paraId="1E4CC8D6" w14:textId="77777777" w:rsidR="00876358" w:rsidRPr="00876358" w:rsidRDefault="00876358" w:rsidP="00876358">
            <w:pPr>
              <w:numPr>
                <w:ilvl w:val="0"/>
                <w:numId w:val="12"/>
              </w:numPr>
              <w:rPr>
                <w:b/>
                <w:bCs/>
              </w:rPr>
            </w:pPr>
            <w:r w:rsidRPr="00876358">
              <w:rPr>
                <w:b/>
                <w:bCs/>
              </w:rPr>
              <w:t>re3data.org</w:t>
            </w:r>
          </w:p>
          <w:p w14:paraId="02C17012" w14:textId="77777777" w:rsidR="00876358" w:rsidRPr="00876358" w:rsidRDefault="00876358" w:rsidP="00876358">
            <w:pPr>
              <w:numPr>
                <w:ilvl w:val="0"/>
                <w:numId w:val="12"/>
              </w:numPr>
              <w:rPr>
                <w:b/>
                <w:bCs/>
              </w:rPr>
            </w:pPr>
            <w:r w:rsidRPr="00876358">
              <w:rPr>
                <w:b/>
                <w:bCs/>
              </w:rPr>
              <w:t>FAIRsharing.org</w:t>
            </w:r>
          </w:p>
          <w:p w14:paraId="51F50A1A" w14:textId="77777777" w:rsidR="00876358" w:rsidRPr="00876358" w:rsidRDefault="00876358" w:rsidP="00876358">
            <w:pPr>
              <w:numPr>
                <w:ilvl w:val="0"/>
                <w:numId w:val="12"/>
              </w:numPr>
              <w:rPr>
                <w:b/>
                <w:bCs/>
              </w:rPr>
            </w:pPr>
            <w:r w:rsidRPr="00876358">
              <w:rPr>
                <w:b/>
                <w:bCs/>
              </w:rPr>
              <w:t>Publisher recommendation</w:t>
            </w:r>
          </w:p>
          <w:p w14:paraId="40915DB1" w14:textId="77777777" w:rsidR="00876358" w:rsidRPr="00876358" w:rsidRDefault="00876358" w:rsidP="00876358">
            <w:pPr>
              <w:numPr>
                <w:ilvl w:val="0"/>
                <w:numId w:val="12"/>
              </w:numPr>
              <w:rPr>
                <w:b/>
                <w:bCs/>
              </w:rPr>
            </w:pPr>
            <w:r w:rsidRPr="00876358">
              <w:rPr>
                <w:b/>
                <w:bCs/>
              </w:rPr>
              <w:t>Repository Finder</w:t>
            </w:r>
          </w:p>
          <w:p w14:paraId="0A9A1F37" w14:textId="77777777" w:rsidR="00876358" w:rsidRDefault="00876358" w:rsidP="00876358">
            <w:pPr>
              <w:numPr>
                <w:ilvl w:val="0"/>
                <w:numId w:val="12"/>
              </w:numPr>
              <w:rPr>
                <w:b/>
                <w:bCs/>
              </w:rPr>
            </w:pPr>
            <w:proofErr w:type="spellStart"/>
            <w:r w:rsidRPr="00876358">
              <w:rPr>
                <w:b/>
                <w:bCs/>
              </w:rPr>
              <w:t>DataSeer</w:t>
            </w:r>
            <w:proofErr w:type="spellEnd"/>
          </w:p>
          <w:p w14:paraId="3C826C8F" w14:textId="6B969334" w:rsidR="00876358" w:rsidRPr="00A11060" w:rsidRDefault="00876358" w:rsidP="00A11060">
            <w:pPr>
              <w:numPr>
                <w:ilvl w:val="0"/>
                <w:numId w:val="12"/>
              </w:numPr>
              <w:rPr>
                <w:b/>
                <w:bCs/>
              </w:rPr>
            </w:pPr>
            <w:proofErr w:type="spellStart"/>
            <w:r w:rsidRPr="00876358">
              <w:rPr>
                <w:b/>
                <w:bCs/>
              </w:rPr>
              <w:t>OpenDOAR</w:t>
            </w:r>
            <w:proofErr w:type="spellEnd"/>
          </w:p>
        </w:tc>
        <w:tc>
          <w:tcPr>
            <w:tcW w:w="7470" w:type="dxa"/>
            <w:shd w:val="clear" w:color="auto" w:fill="F7EFDE" w:themeFill="accent4" w:themeFillTint="33"/>
          </w:tcPr>
          <w:p w14:paraId="44D769C6" w14:textId="77777777" w:rsidR="00876358" w:rsidRDefault="00876358" w:rsidP="00876358">
            <w:pPr>
              <w:rPr>
                <w:b/>
                <w:bCs/>
              </w:rPr>
            </w:pPr>
            <w:r>
              <w:rPr>
                <w:b/>
                <w:bCs/>
              </w:rPr>
              <w:t>Properties to Look For:</w:t>
            </w:r>
          </w:p>
          <w:p w14:paraId="6766C1BE" w14:textId="77777777" w:rsidR="00876358" w:rsidRPr="00876358" w:rsidRDefault="00876358" w:rsidP="00876358">
            <w:pPr>
              <w:pStyle w:val="ListParagraph"/>
              <w:numPr>
                <w:ilvl w:val="0"/>
                <w:numId w:val="10"/>
              </w:numPr>
              <w:rPr>
                <w:b/>
                <w:bCs/>
              </w:rPr>
            </w:pPr>
            <w:r w:rsidRPr="00876358">
              <w:rPr>
                <w:b/>
                <w:bCs/>
              </w:rPr>
              <w:t>Does the repository accept data?</w:t>
            </w:r>
          </w:p>
          <w:p w14:paraId="6C239087" w14:textId="77777777" w:rsidR="00876358" w:rsidRPr="00876358" w:rsidRDefault="00876358" w:rsidP="00876358">
            <w:pPr>
              <w:pStyle w:val="ListParagraph"/>
              <w:numPr>
                <w:ilvl w:val="0"/>
                <w:numId w:val="10"/>
              </w:numPr>
              <w:rPr>
                <w:b/>
                <w:bCs/>
              </w:rPr>
            </w:pPr>
            <w:r w:rsidRPr="00876358">
              <w:rPr>
                <w:b/>
                <w:bCs/>
              </w:rPr>
              <w:t>Metadata descriptions?</w:t>
            </w:r>
          </w:p>
          <w:p w14:paraId="2B6C8A93" w14:textId="77777777" w:rsidR="00876358" w:rsidRPr="00876358" w:rsidRDefault="00876358" w:rsidP="00876358">
            <w:pPr>
              <w:pStyle w:val="ListParagraph"/>
              <w:numPr>
                <w:ilvl w:val="0"/>
                <w:numId w:val="10"/>
              </w:numPr>
              <w:rPr>
                <w:b/>
                <w:bCs/>
              </w:rPr>
            </w:pPr>
            <w:r w:rsidRPr="00876358">
              <w:rPr>
                <w:b/>
                <w:bCs/>
              </w:rPr>
              <w:t>Stability – supported by an institution?</w:t>
            </w:r>
          </w:p>
          <w:p w14:paraId="7E0CE2DE" w14:textId="77777777" w:rsidR="00876358" w:rsidRPr="00876358" w:rsidRDefault="00876358" w:rsidP="00876358">
            <w:pPr>
              <w:pStyle w:val="ListParagraph"/>
              <w:numPr>
                <w:ilvl w:val="0"/>
                <w:numId w:val="10"/>
              </w:numPr>
              <w:rPr>
                <w:b/>
                <w:bCs/>
              </w:rPr>
            </w:pPr>
            <w:r w:rsidRPr="00876358">
              <w:rPr>
                <w:b/>
                <w:bCs/>
              </w:rPr>
              <w:t>Suitability for the type of data?</w:t>
            </w:r>
          </w:p>
          <w:p w14:paraId="728B7CBE" w14:textId="0A2F02EE" w:rsidR="00876358" w:rsidRPr="00A11060" w:rsidRDefault="00876358" w:rsidP="00A11060">
            <w:pPr>
              <w:pStyle w:val="ListParagraph"/>
              <w:numPr>
                <w:ilvl w:val="0"/>
                <w:numId w:val="10"/>
              </w:numPr>
              <w:rPr>
                <w:b/>
                <w:bCs/>
              </w:rPr>
            </w:pPr>
            <w:r w:rsidRPr="00876358">
              <w:rPr>
                <w:b/>
                <w:bCs/>
              </w:rPr>
              <w:t>Is the site maintained?</w:t>
            </w:r>
          </w:p>
        </w:tc>
      </w:tr>
      <w:tr w:rsidR="00266033" w14:paraId="0584FABC" w14:textId="77777777" w:rsidTr="00A11060">
        <w:tc>
          <w:tcPr>
            <w:tcW w:w="3325" w:type="dxa"/>
          </w:tcPr>
          <w:p w14:paraId="547E47C9" w14:textId="77777777" w:rsidR="00266033" w:rsidRDefault="00895196" w:rsidP="00266033">
            <w:r>
              <w:t>Ag Data Commons</w:t>
            </w:r>
          </w:p>
          <w:p w14:paraId="743E3061" w14:textId="1D6F5E38" w:rsidR="00895196" w:rsidRDefault="00895196" w:rsidP="00266033"/>
        </w:tc>
        <w:tc>
          <w:tcPr>
            <w:tcW w:w="7470" w:type="dxa"/>
          </w:tcPr>
          <w:p w14:paraId="591E9244" w14:textId="77777777" w:rsidR="00266033" w:rsidRDefault="00895196" w:rsidP="00895196">
            <w:pPr>
              <w:pStyle w:val="ListParagraph"/>
              <w:numPr>
                <w:ilvl w:val="0"/>
                <w:numId w:val="8"/>
              </w:numPr>
            </w:pPr>
            <w:r>
              <w:t>Generalist Repository</w:t>
            </w:r>
          </w:p>
          <w:p w14:paraId="7F749E4C" w14:textId="77777777" w:rsidR="00895196" w:rsidRDefault="00895196" w:rsidP="00895196">
            <w:pPr>
              <w:pStyle w:val="ListParagraph"/>
              <w:numPr>
                <w:ilvl w:val="0"/>
                <w:numId w:val="8"/>
              </w:numPr>
            </w:pPr>
            <w:r>
              <w:t xml:space="preserve">Issues </w:t>
            </w:r>
            <w:proofErr w:type="gramStart"/>
            <w:r>
              <w:t>DOI’s</w:t>
            </w:r>
            <w:proofErr w:type="gramEnd"/>
            <w:r>
              <w:t xml:space="preserve"> for data it holds</w:t>
            </w:r>
          </w:p>
          <w:p w14:paraId="16ED506E" w14:textId="2EBC35DC" w:rsidR="00895196" w:rsidRDefault="00895196" w:rsidP="00895196">
            <w:pPr>
              <w:pStyle w:val="ListParagraph"/>
              <w:numPr>
                <w:ilvl w:val="0"/>
                <w:numId w:val="8"/>
              </w:numPr>
            </w:pPr>
            <w:r>
              <w:t>Supports scientific metadata</w:t>
            </w:r>
          </w:p>
          <w:p w14:paraId="188D6D6E" w14:textId="77777777" w:rsidR="00895196" w:rsidRDefault="00895196" w:rsidP="00895196">
            <w:pPr>
              <w:pStyle w:val="ListParagraph"/>
              <w:numPr>
                <w:ilvl w:val="0"/>
                <w:numId w:val="8"/>
              </w:numPr>
            </w:pPr>
            <w:r>
              <w:t>Can harvest metadata catalog records from other repositories</w:t>
            </w:r>
          </w:p>
          <w:p w14:paraId="10D2E417" w14:textId="20DC5B24" w:rsidR="00895196" w:rsidRDefault="00895196" w:rsidP="00A11060">
            <w:pPr>
              <w:pStyle w:val="ListParagraph"/>
              <w:numPr>
                <w:ilvl w:val="0"/>
                <w:numId w:val="8"/>
              </w:numPr>
            </w:pPr>
            <w:r>
              <w:t>Managed by the National Agricultural Library</w:t>
            </w:r>
          </w:p>
        </w:tc>
      </w:tr>
      <w:tr w:rsidR="00266033" w14:paraId="63174731" w14:textId="77777777" w:rsidTr="00A11060">
        <w:tc>
          <w:tcPr>
            <w:tcW w:w="3325" w:type="dxa"/>
          </w:tcPr>
          <w:p w14:paraId="5993B07F" w14:textId="488C5CA6" w:rsidR="00266033" w:rsidRDefault="00C17947" w:rsidP="00266033">
            <w:proofErr w:type="spellStart"/>
            <w:r>
              <w:t>AmeriFlux</w:t>
            </w:r>
            <w:proofErr w:type="spellEnd"/>
            <w:r>
              <w:t xml:space="preserve"> Management Project</w:t>
            </w:r>
          </w:p>
        </w:tc>
        <w:tc>
          <w:tcPr>
            <w:tcW w:w="7470" w:type="dxa"/>
          </w:tcPr>
          <w:p w14:paraId="11E6ECCE" w14:textId="79F757E7" w:rsidR="00266033" w:rsidRDefault="000C02C8" w:rsidP="00266033">
            <w:r>
              <w:t xml:space="preserve">A Department of Energy led </w:t>
            </w:r>
            <w:proofErr w:type="gramStart"/>
            <w:r>
              <w:t>project</w:t>
            </w:r>
            <w:proofErr w:type="gramEnd"/>
            <w:r>
              <w:t xml:space="preserve"> to standardize eddy covariance, equipment, data and its collection.  The project supports continuous, long-term ecosystem measurements necessary to understand ecosystems and to build effective models and multi-site syntheses.  </w:t>
            </w:r>
            <w:hyperlink r:id="rId12" w:history="1">
              <w:r>
                <w:rPr>
                  <w:rStyle w:val="Hyperlink"/>
                </w:rPr>
                <w:t xml:space="preserve">About </w:t>
              </w:r>
              <w:proofErr w:type="spellStart"/>
              <w:r>
                <w:rPr>
                  <w:rStyle w:val="Hyperlink"/>
                </w:rPr>
                <w:t>AmeriFlux</w:t>
              </w:r>
              <w:proofErr w:type="spellEnd"/>
              <w:r>
                <w:rPr>
                  <w:rStyle w:val="Hyperlink"/>
                </w:rPr>
                <w:t xml:space="preserve"> Management Project (lbl.gov)</w:t>
              </w:r>
            </w:hyperlink>
          </w:p>
        </w:tc>
      </w:tr>
      <w:tr w:rsidR="00266033" w14:paraId="0D6E7FE7" w14:textId="77777777" w:rsidTr="00A11060">
        <w:tc>
          <w:tcPr>
            <w:tcW w:w="3325" w:type="dxa"/>
          </w:tcPr>
          <w:p w14:paraId="0F131106" w14:textId="5AEAFB6E" w:rsidR="00266033" w:rsidRDefault="000C02C8" w:rsidP="00266033">
            <w:r>
              <w:t>JGI Phytozome-13</w:t>
            </w:r>
          </w:p>
        </w:tc>
        <w:tc>
          <w:tcPr>
            <w:tcW w:w="7470" w:type="dxa"/>
          </w:tcPr>
          <w:p w14:paraId="64605BD2" w14:textId="4222E801" w:rsidR="00266033" w:rsidRDefault="000C02C8" w:rsidP="00266033">
            <w:proofErr w:type="spellStart"/>
            <w:r>
              <w:t>Phytozome</w:t>
            </w:r>
            <w:proofErr w:type="spellEnd"/>
            <w:r>
              <w:t xml:space="preserve"> is a plant comparative genomics portal of the Department of Energy, Joint Genome Institute (JGI). The system integrates a large collection of plant genomes into a single resource</w:t>
            </w:r>
            <w:r w:rsidR="009B187D">
              <w:t xml:space="preserve"> from which comprehensive and uniform annotation are applied to facilitate insightful comparative genomic studies.</w:t>
            </w:r>
          </w:p>
          <w:p w14:paraId="6980CE12" w14:textId="4C32563B" w:rsidR="009B187D" w:rsidRDefault="009B187D" w:rsidP="00266033">
            <w:hyperlink r:id="rId13" w:history="1">
              <w:proofErr w:type="spellStart"/>
              <w:r>
                <w:rPr>
                  <w:rStyle w:val="Hyperlink"/>
                </w:rPr>
                <w:t>Phytozome</w:t>
              </w:r>
              <w:proofErr w:type="spellEnd"/>
              <w:r>
                <w:rPr>
                  <w:rStyle w:val="Hyperlink"/>
                </w:rPr>
                <w:t xml:space="preserve"> (doe.gov)</w:t>
              </w:r>
            </w:hyperlink>
          </w:p>
        </w:tc>
      </w:tr>
      <w:tr w:rsidR="00266033" w14:paraId="0B975F63" w14:textId="77777777" w:rsidTr="00A11060">
        <w:tc>
          <w:tcPr>
            <w:tcW w:w="3325" w:type="dxa"/>
          </w:tcPr>
          <w:p w14:paraId="632D81F4" w14:textId="7EE4FC02" w:rsidR="00266033" w:rsidRDefault="009B187D" w:rsidP="00266033">
            <w:r>
              <w:t>Bovine Genome Database</w:t>
            </w:r>
          </w:p>
        </w:tc>
        <w:tc>
          <w:tcPr>
            <w:tcW w:w="7470" w:type="dxa"/>
          </w:tcPr>
          <w:p w14:paraId="63DF60F4" w14:textId="6452E8E4" w:rsidR="00266033" w:rsidRDefault="009B187D" w:rsidP="00266033">
            <w:r>
              <w:t xml:space="preserve">Bovine Genome Database (GDB) provides tools for data mining, genome browsing, annotation, and other tools.  </w:t>
            </w:r>
            <w:proofErr w:type="spellStart"/>
            <w:r>
              <w:t>BovineMine</w:t>
            </w:r>
            <w:proofErr w:type="spellEnd"/>
            <w:r>
              <w:t xml:space="preserve"> integrates genome assemblies with a wide variety of data sources, </w:t>
            </w:r>
            <w:proofErr w:type="gramStart"/>
            <w:r>
              <w:t>including,</w:t>
            </w:r>
            <w:proofErr w:type="gramEnd"/>
            <w:r>
              <w:t xml:space="preserve"> genes, proteins, orthologs, pathways, gene ontologies, gene expression, interactions, variants, QTL, and publications.</w:t>
            </w:r>
          </w:p>
        </w:tc>
      </w:tr>
    </w:tbl>
    <w:p w14:paraId="78CC995B" w14:textId="40A1460D" w:rsidR="00266033" w:rsidRDefault="00266033" w:rsidP="00266033"/>
    <w:p w14:paraId="06092FA0" w14:textId="28F3C00A" w:rsidR="00895196" w:rsidRPr="009502AA" w:rsidRDefault="00895196" w:rsidP="00895196">
      <w:pPr>
        <w:pStyle w:val="Heading1"/>
        <w:rPr>
          <w:b/>
          <w:bCs/>
          <w:color w:val="auto"/>
        </w:rPr>
      </w:pPr>
      <w:r w:rsidRPr="009502AA">
        <w:rPr>
          <w:b/>
          <w:bCs/>
          <w:color w:val="auto"/>
        </w:rPr>
        <w:t>Example metadata standards</w:t>
      </w:r>
    </w:p>
    <w:tbl>
      <w:tblPr>
        <w:tblStyle w:val="TableGrid"/>
        <w:tblW w:w="10795" w:type="dxa"/>
        <w:tblLook w:val="04A0" w:firstRow="1" w:lastRow="0" w:firstColumn="1" w:lastColumn="0" w:noHBand="0" w:noVBand="1"/>
      </w:tblPr>
      <w:tblGrid>
        <w:gridCol w:w="2965"/>
        <w:gridCol w:w="7830"/>
      </w:tblGrid>
      <w:tr w:rsidR="00895196" w14:paraId="687A39BC" w14:textId="77777777" w:rsidTr="00A11060">
        <w:tc>
          <w:tcPr>
            <w:tcW w:w="2965" w:type="dxa"/>
            <w:shd w:val="clear" w:color="auto" w:fill="D9D9D9" w:themeFill="background1" w:themeFillShade="D9"/>
          </w:tcPr>
          <w:p w14:paraId="58AAC1AD" w14:textId="787BCDEC" w:rsidR="00895196" w:rsidRPr="00A11060" w:rsidRDefault="00895196" w:rsidP="00895196">
            <w:pPr>
              <w:rPr>
                <w:b/>
                <w:bCs/>
              </w:rPr>
            </w:pPr>
            <w:r>
              <w:rPr>
                <w:b/>
                <w:bCs/>
              </w:rPr>
              <w:t>Standard</w:t>
            </w:r>
          </w:p>
        </w:tc>
        <w:tc>
          <w:tcPr>
            <w:tcW w:w="7830" w:type="dxa"/>
            <w:shd w:val="clear" w:color="auto" w:fill="D9D9D9" w:themeFill="background1" w:themeFillShade="D9"/>
          </w:tcPr>
          <w:p w14:paraId="29D4EC4E" w14:textId="11BF63C1" w:rsidR="00895196" w:rsidRPr="00A11060" w:rsidRDefault="00895196" w:rsidP="00895196">
            <w:pPr>
              <w:rPr>
                <w:b/>
                <w:bCs/>
              </w:rPr>
            </w:pPr>
            <w:r>
              <w:rPr>
                <w:b/>
                <w:bCs/>
              </w:rPr>
              <w:t>Description</w:t>
            </w:r>
          </w:p>
        </w:tc>
      </w:tr>
      <w:tr w:rsidR="00895196" w14:paraId="36FEC0D2" w14:textId="77777777" w:rsidTr="00A11060">
        <w:tc>
          <w:tcPr>
            <w:tcW w:w="2965" w:type="dxa"/>
          </w:tcPr>
          <w:p w14:paraId="3405D37D" w14:textId="1ACE1441" w:rsidR="00895196" w:rsidRDefault="00895196" w:rsidP="00895196">
            <w:r>
              <w:t>ISO 19115</w:t>
            </w:r>
          </w:p>
        </w:tc>
        <w:tc>
          <w:tcPr>
            <w:tcW w:w="7830" w:type="dxa"/>
          </w:tcPr>
          <w:p w14:paraId="5E8F355B" w14:textId="521CA2E0" w:rsidR="00895196" w:rsidRDefault="00895196">
            <w:r>
              <w:t xml:space="preserve">International Standards Organization – standard for geospatial information </w:t>
            </w:r>
          </w:p>
        </w:tc>
      </w:tr>
      <w:tr w:rsidR="00895196" w14:paraId="3AB4D900" w14:textId="77777777" w:rsidTr="00A11060">
        <w:tc>
          <w:tcPr>
            <w:tcW w:w="2965" w:type="dxa"/>
          </w:tcPr>
          <w:p w14:paraId="66380D2E" w14:textId="3BCF44BA" w:rsidR="00895196" w:rsidRDefault="00895196" w:rsidP="00895196">
            <w:r>
              <w:t>EML</w:t>
            </w:r>
          </w:p>
        </w:tc>
        <w:tc>
          <w:tcPr>
            <w:tcW w:w="7830" w:type="dxa"/>
          </w:tcPr>
          <w:p w14:paraId="0F5E9633" w14:textId="17B9FBAA" w:rsidR="00895196" w:rsidRDefault="00895196" w:rsidP="00895196">
            <w:r>
              <w:t>Ecological Markup Language</w:t>
            </w:r>
          </w:p>
        </w:tc>
      </w:tr>
      <w:tr w:rsidR="00895196" w14:paraId="35A5B9BB" w14:textId="77777777" w:rsidTr="00A11060">
        <w:tc>
          <w:tcPr>
            <w:tcW w:w="2965" w:type="dxa"/>
          </w:tcPr>
          <w:p w14:paraId="46F5B0DD" w14:textId="54F871D0" w:rsidR="00895196" w:rsidRDefault="00895196" w:rsidP="00895196">
            <w:r>
              <w:t>MINSEQE</w:t>
            </w:r>
          </w:p>
        </w:tc>
        <w:tc>
          <w:tcPr>
            <w:tcW w:w="7830" w:type="dxa"/>
          </w:tcPr>
          <w:p w14:paraId="5A8EDC49" w14:textId="3F84DE72" w:rsidR="00895196" w:rsidRDefault="00895196" w:rsidP="00895196">
            <w:proofErr w:type="spellStart"/>
            <w:r>
              <w:t>MINimal</w:t>
            </w:r>
            <w:proofErr w:type="spellEnd"/>
            <w:r>
              <w:t xml:space="preserve"> information about hi-throughput </w:t>
            </w:r>
            <w:proofErr w:type="spellStart"/>
            <w:r>
              <w:t>SEQuencing</w:t>
            </w:r>
            <w:proofErr w:type="spellEnd"/>
          </w:p>
        </w:tc>
      </w:tr>
      <w:tr w:rsidR="00895196" w14:paraId="0B1FC486" w14:textId="77777777" w:rsidTr="00A11060">
        <w:tc>
          <w:tcPr>
            <w:tcW w:w="2965" w:type="dxa"/>
          </w:tcPr>
          <w:p w14:paraId="31D31346" w14:textId="0870A07C" w:rsidR="00895196" w:rsidRDefault="00895196" w:rsidP="00895196">
            <w:r>
              <w:t>MIBBI</w:t>
            </w:r>
          </w:p>
        </w:tc>
        <w:tc>
          <w:tcPr>
            <w:tcW w:w="7830" w:type="dxa"/>
          </w:tcPr>
          <w:p w14:paraId="09974431" w14:textId="028F1C18" w:rsidR="00895196" w:rsidRDefault="00895196" w:rsidP="00895196">
            <w:r>
              <w:t>Minimal Information for Biological and Biomedical Investigations</w:t>
            </w:r>
          </w:p>
        </w:tc>
      </w:tr>
    </w:tbl>
    <w:p w14:paraId="2A1AF8E1" w14:textId="462EA864" w:rsidR="00895196" w:rsidRPr="009502AA" w:rsidRDefault="00895196" w:rsidP="00895196"/>
    <w:p w14:paraId="06FECD9D" w14:textId="2485DA70" w:rsidR="00B1553D" w:rsidRPr="009502AA" w:rsidRDefault="00991C0B" w:rsidP="00B1553D">
      <w:pPr>
        <w:pStyle w:val="Heading1"/>
        <w:rPr>
          <w:b/>
          <w:bCs/>
          <w:color w:val="auto"/>
        </w:rPr>
      </w:pPr>
      <w:r w:rsidRPr="009502AA">
        <w:rPr>
          <w:b/>
          <w:bCs/>
          <w:color w:val="auto"/>
        </w:rPr>
        <w:t xml:space="preserve">example </w:t>
      </w:r>
      <w:r w:rsidR="00B1553D" w:rsidRPr="009502AA">
        <w:rPr>
          <w:b/>
          <w:bCs/>
          <w:color w:val="auto"/>
        </w:rPr>
        <w:t>Controlled vocabularies</w:t>
      </w:r>
    </w:p>
    <w:tbl>
      <w:tblPr>
        <w:tblStyle w:val="TableGrid"/>
        <w:tblW w:w="10795" w:type="dxa"/>
        <w:tblLook w:val="04A0" w:firstRow="1" w:lastRow="0" w:firstColumn="1" w:lastColumn="0" w:noHBand="0" w:noVBand="1"/>
      </w:tblPr>
      <w:tblGrid>
        <w:gridCol w:w="2965"/>
        <w:gridCol w:w="7830"/>
      </w:tblGrid>
      <w:tr w:rsidR="00B1553D" w14:paraId="7C5BAACE" w14:textId="77777777" w:rsidTr="00A11060">
        <w:tc>
          <w:tcPr>
            <w:tcW w:w="2965" w:type="dxa"/>
            <w:shd w:val="clear" w:color="auto" w:fill="D9D9D9" w:themeFill="background1" w:themeFillShade="D9"/>
          </w:tcPr>
          <w:p w14:paraId="0002B71C" w14:textId="76D6D4C1" w:rsidR="00B1553D" w:rsidRPr="00A11060" w:rsidRDefault="00B1553D" w:rsidP="00B1553D">
            <w:pPr>
              <w:rPr>
                <w:b/>
                <w:bCs/>
              </w:rPr>
            </w:pPr>
            <w:r>
              <w:rPr>
                <w:b/>
                <w:bCs/>
              </w:rPr>
              <w:t>Vocabulary</w:t>
            </w:r>
          </w:p>
        </w:tc>
        <w:tc>
          <w:tcPr>
            <w:tcW w:w="7830" w:type="dxa"/>
            <w:shd w:val="clear" w:color="auto" w:fill="D9D9D9" w:themeFill="background1" w:themeFillShade="D9"/>
          </w:tcPr>
          <w:p w14:paraId="03375244" w14:textId="6F869CE8" w:rsidR="00B1553D" w:rsidRPr="00A11060" w:rsidRDefault="00B1553D" w:rsidP="00B1553D">
            <w:pPr>
              <w:rPr>
                <w:b/>
                <w:bCs/>
              </w:rPr>
            </w:pPr>
            <w:r>
              <w:rPr>
                <w:b/>
                <w:bCs/>
              </w:rPr>
              <w:t>Description</w:t>
            </w:r>
          </w:p>
        </w:tc>
      </w:tr>
      <w:tr w:rsidR="00B1553D" w14:paraId="128B737F" w14:textId="77777777" w:rsidTr="00A11060">
        <w:tc>
          <w:tcPr>
            <w:tcW w:w="2965" w:type="dxa"/>
          </w:tcPr>
          <w:p w14:paraId="63B4A009" w14:textId="73D83131" w:rsidR="00B1553D" w:rsidRDefault="00B1553D" w:rsidP="00B1553D">
            <w:r>
              <w:t>NALT</w:t>
            </w:r>
          </w:p>
        </w:tc>
        <w:tc>
          <w:tcPr>
            <w:tcW w:w="7830" w:type="dxa"/>
          </w:tcPr>
          <w:p w14:paraId="236C732E" w14:textId="01F059CD" w:rsidR="00B1553D" w:rsidRDefault="00B1553D" w:rsidP="00B1553D">
            <w:r>
              <w:t>National Agricultural Library Thesaurus – professionally maintained thesaurus used to describe the agriculture literature in AGRICOLA and other indexed databases.  &lt;</w:t>
            </w:r>
            <w:hyperlink r:id="rId14" w:anchor=":~:text=The%20NAL%20Agricultural%20Thesaurus%20%28NALT%29%20was%20first%20released,in-depth%20coverage%20of%20agriculture%2C%20biology%2C%20and%20related%20disciplines." w:history="1">
              <w:r>
                <w:rPr>
                  <w:rStyle w:val="Hyperlink"/>
                </w:rPr>
                <w:t>NAL Agricultural Thesaurus and Glossary | Ag Data Commons (usda.gov)</w:t>
              </w:r>
            </w:hyperlink>
            <w:r>
              <w:t>&gt;</w:t>
            </w:r>
          </w:p>
        </w:tc>
      </w:tr>
      <w:tr w:rsidR="00B1553D" w14:paraId="479C7E7D" w14:textId="77777777" w:rsidTr="00A11060">
        <w:tc>
          <w:tcPr>
            <w:tcW w:w="2965" w:type="dxa"/>
          </w:tcPr>
          <w:p w14:paraId="0ADA8311" w14:textId="53398BF4" w:rsidR="00B1553D" w:rsidRDefault="00B1553D" w:rsidP="00B1553D">
            <w:r>
              <w:t>ICASA</w:t>
            </w:r>
          </w:p>
        </w:tc>
        <w:tc>
          <w:tcPr>
            <w:tcW w:w="7830" w:type="dxa"/>
          </w:tcPr>
          <w:p w14:paraId="7BE2D1ED" w14:textId="7E4333F7" w:rsidR="00B1553D" w:rsidRDefault="00B1553D" w:rsidP="00B1553D">
            <w:r>
              <w:t xml:space="preserve">International Consortium </w:t>
            </w:r>
            <w:r w:rsidR="00122573">
              <w:t>for Agricultural Systems Applications.  Supports integration of results from multiple experiments.   &lt;</w:t>
            </w:r>
            <w:hyperlink r:id="rId15" w:history="1">
              <w:r w:rsidR="00122573">
                <w:rPr>
                  <w:rStyle w:val="Hyperlink"/>
                </w:rPr>
                <w:t>Integrated description of agricultural field experiments and production: The ICASA Version 2.0 data standards - ScienceDirect</w:t>
              </w:r>
            </w:hyperlink>
            <w:r w:rsidR="00122573">
              <w:t>&gt;</w:t>
            </w:r>
          </w:p>
        </w:tc>
      </w:tr>
      <w:tr w:rsidR="00B1553D" w14:paraId="25F427AF" w14:textId="77777777" w:rsidTr="00A11060">
        <w:tc>
          <w:tcPr>
            <w:tcW w:w="2965" w:type="dxa"/>
          </w:tcPr>
          <w:p w14:paraId="59AD51F5" w14:textId="3E919A3C" w:rsidR="00B1553D" w:rsidRDefault="00122573" w:rsidP="00B1553D">
            <w:r>
              <w:t xml:space="preserve">GRIN-Global Taxonomy </w:t>
            </w:r>
          </w:p>
        </w:tc>
        <w:tc>
          <w:tcPr>
            <w:tcW w:w="7830" w:type="dxa"/>
          </w:tcPr>
          <w:p w14:paraId="692E07F5" w14:textId="7039D681" w:rsidR="00B1553D" w:rsidRDefault="00122573" w:rsidP="00B1553D">
            <w:r>
              <w:t>USDA’s Germplasm Resources Information Network – Global is the USDA official taxonomic resource for major and minor crops and their wild and weedy relatives</w:t>
            </w:r>
          </w:p>
        </w:tc>
      </w:tr>
      <w:tr w:rsidR="00B1553D" w14:paraId="65D406DB" w14:textId="77777777" w:rsidTr="00A11060">
        <w:tc>
          <w:tcPr>
            <w:tcW w:w="2965" w:type="dxa"/>
          </w:tcPr>
          <w:p w14:paraId="22A32AB6" w14:textId="135DBBB0" w:rsidR="00B1553D" w:rsidRPr="00122573" w:rsidRDefault="00122573" w:rsidP="00B1553D">
            <w:proofErr w:type="spellStart"/>
            <w:r>
              <w:t>ChemID</w:t>
            </w:r>
            <w:r>
              <w:rPr>
                <w:i/>
                <w:iCs/>
              </w:rPr>
              <w:t>plus</w:t>
            </w:r>
            <w:proofErr w:type="spellEnd"/>
          </w:p>
        </w:tc>
        <w:tc>
          <w:tcPr>
            <w:tcW w:w="7830" w:type="dxa"/>
          </w:tcPr>
          <w:p w14:paraId="68AA3C31" w14:textId="32617FC8" w:rsidR="00B1553D" w:rsidRDefault="00991C0B" w:rsidP="00B1553D">
            <w:r>
              <w:t>Authority file used in the identification of chemical substances cited in the NIH, National Library of Medicine databases.</w:t>
            </w:r>
          </w:p>
        </w:tc>
      </w:tr>
    </w:tbl>
    <w:p w14:paraId="5834A6C9" w14:textId="76163985" w:rsidR="00B1553D" w:rsidRDefault="00B1553D"/>
    <w:p w14:paraId="4DA9A398" w14:textId="17F0F454" w:rsidR="00B92966" w:rsidRPr="009502AA" w:rsidRDefault="00B92966" w:rsidP="00B92966">
      <w:pPr>
        <w:pStyle w:val="Heading1"/>
        <w:rPr>
          <w:b/>
          <w:bCs/>
          <w:color w:val="auto"/>
        </w:rPr>
      </w:pPr>
      <w:r w:rsidRPr="009502AA">
        <w:rPr>
          <w:b/>
          <w:bCs/>
          <w:color w:val="auto"/>
        </w:rPr>
        <w:t>Example dmp (Exhibit a in p&amp;p 630.0)</w:t>
      </w:r>
    </w:p>
    <w:p w14:paraId="63452AAF" w14:textId="77777777" w:rsidR="00B92966" w:rsidRDefault="00B92966" w:rsidP="00B92966">
      <w:r>
        <w:t xml:space="preserve">An example of a DMP that would be appropriate to include in a 5-year project plan according to the guidance in this P&amp;P follows. It was adapted from a DMP written on April 24, 2018, by Laurence Parnell of the Jean Mayer Human Nutrition Research Center on Aging (HNRCA), for a review of National Program 107 by OSQR. </w:t>
      </w:r>
    </w:p>
    <w:p w14:paraId="20DA425B" w14:textId="77777777" w:rsidR="00B92966" w:rsidRDefault="00B92966" w:rsidP="00B92966">
      <w:r w:rsidRPr="00A11060">
        <w:rPr>
          <w:b/>
          <w:bCs/>
        </w:rPr>
        <w:lastRenderedPageBreak/>
        <w:t>Data Management Plan</w:t>
      </w:r>
      <w:r>
        <w:t xml:space="preserve"> </w:t>
      </w:r>
    </w:p>
    <w:p w14:paraId="0D00B63B" w14:textId="77777777" w:rsidR="00B92966" w:rsidRDefault="00B92966" w:rsidP="00B92966">
      <w:r>
        <w:t xml:space="preserve">Data will be collected, processed, organized, housed, and retained based on standards appropriate to the biomedical research community guidelines. The greatest amount of data used throughout all aspects of this proposal </w:t>
      </w:r>
      <w:proofErr w:type="gramStart"/>
      <w:r>
        <w:t>are</w:t>
      </w:r>
      <w:proofErr w:type="gramEnd"/>
      <w:r>
        <w:t xml:space="preserve"> human population/cohort data. </w:t>
      </w:r>
      <w:proofErr w:type="gramStart"/>
      <w:r>
        <w:t>Personally-identifiable</w:t>
      </w:r>
      <w:proofErr w:type="gramEnd"/>
      <w:r>
        <w:t xml:space="preserve"> information (PII) is protected as part of Institutional Review Board approval; all volunteer and participant data we use is de-identified. </w:t>
      </w:r>
    </w:p>
    <w:p w14:paraId="2D06A650" w14:textId="77777777" w:rsidR="00B92966" w:rsidRDefault="00B92966" w:rsidP="00B92966">
      <w:r w:rsidRPr="00A11060">
        <w:rPr>
          <w:b/>
          <w:bCs/>
        </w:rPr>
        <w:t>Expected Data Types</w:t>
      </w:r>
      <w:r>
        <w:t xml:space="preserve"> </w:t>
      </w:r>
    </w:p>
    <w:p w14:paraId="54D1071A" w14:textId="77777777" w:rsidR="00EA66AC" w:rsidRDefault="00B92966" w:rsidP="00B92966">
      <w:r>
        <w:t xml:space="preserve">Data that we collect, generate, or derive will include phenotypes/human traits/human laboratory variables, diet, SNP genotypes, CpG methylation epigenotypes, and microbiome data. Other data to be used include gene expression (from GEO NCBI and </w:t>
      </w:r>
      <w:proofErr w:type="spellStart"/>
      <w:r>
        <w:t>dbGaP</w:t>
      </w:r>
      <w:proofErr w:type="spellEnd"/>
      <w:r>
        <w:t xml:space="preserve">), biological pathways (from KEGG, </w:t>
      </w:r>
      <w:proofErr w:type="spellStart"/>
      <w:r>
        <w:t>Reactome</w:t>
      </w:r>
      <w:proofErr w:type="spellEnd"/>
      <w:r>
        <w:t xml:space="preserve">, </w:t>
      </w:r>
      <w:proofErr w:type="spellStart"/>
      <w:r>
        <w:t>WikiPathwys</w:t>
      </w:r>
      <w:proofErr w:type="spellEnd"/>
      <w:r>
        <w:t>, various specialty), metabolites (</w:t>
      </w:r>
      <w:proofErr w:type="spellStart"/>
      <w:r>
        <w:t>FooDB</w:t>
      </w:r>
      <w:proofErr w:type="spellEnd"/>
      <w:r>
        <w:t xml:space="preserve">, HMDB, Metabolon, Metabolomics Workbench) and their enzymes (enzyme database at </w:t>
      </w:r>
      <w:proofErr w:type="spellStart"/>
      <w:r>
        <w:t>Expasy</w:t>
      </w:r>
      <w:proofErr w:type="spellEnd"/>
      <w:r>
        <w:t xml:space="preserve">), protein-protein interactions (BIND, </w:t>
      </w:r>
      <w:proofErr w:type="spellStart"/>
      <w:r>
        <w:t>BioGrid</w:t>
      </w:r>
      <w:proofErr w:type="spellEnd"/>
      <w:r>
        <w:t xml:space="preserve">, STRING), human genome (Build 38, </w:t>
      </w:r>
      <w:proofErr w:type="spellStart"/>
      <w:r>
        <w:t>Ensembl</w:t>
      </w:r>
      <w:proofErr w:type="spellEnd"/>
      <w:r>
        <w:t xml:space="preserve">), SNP-phenotype associations (GWAS catalog), </w:t>
      </w:r>
      <w:proofErr w:type="spellStart"/>
      <w:r>
        <w:t>CpGs</w:t>
      </w:r>
      <w:proofErr w:type="spellEnd"/>
      <w:r>
        <w:t xml:space="preserve"> (DNA methylation from Illumina annotation), </w:t>
      </w:r>
      <w:proofErr w:type="spellStart"/>
      <w:r>
        <w:t>eQTL</w:t>
      </w:r>
      <w:proofErr w:type="spellEnd"/>
      <w:r>
        <w:t xml:space="preserve"> and </w:t>
      </w:r>
      <w:proofErr w:type="spellStart"/>
      <w:r>
        <w:t>meQTL</w:t>
      </w:r>
      <w:proofErr w:type="spellEnd"/>
      <w:r>
        <w:t xml:space="preserve"> (</w:t>
      </w:r>
      <w:proofErr w:type="spellStart"/>
      <w:r>
        <w:t>GTEx</w:t>
      </w:r>
      <w:proofErr w:type="spellEnd"/>
      <w:r>
        <w:t xml:space="preserve">/Jaffe 2015), cardiometabolic </w:t>
      </w:r>
      <w:proofErr w:type="spellStart"/>
      <w:r>
        <w:t>GxEs</w:t>
      </w:r>
      <w:proofErr w:type="spellEnd"/>
      <w:r>
        <w:t xml:space="preserve"> (</w:t>
      </w:r>
      <w:proofErr w:type="spellStart"/>
      <w:r>
        <w:t>CardioGxE</w:t>
      </w:r>
      <w:proofErr w:type="spellEnd"/>
      <w:r>
        <w:t xml:space="preserve">), and various data from AHA Precision Medicine Platform and </w:t>
      </w:r>
      <w:proofErr w:type="spellStart"/>
      <w:r>
        <w:t>BioStudies</w:t>
      </w:r>
      <w:proofErr w:type="spellEnd"/>
      <w:r>
        <w:t xml:space="preserve"> repositories. </w:t>
      </w:r>
    </w:p>
    <w:p w14:paraId="1154B2BC" w14:textId="77777777" w:rsidR="00EA66AC" w:rsidRDefault="00B92966" w:rsidP="00B92966">
      <w:r w:rsidRPr="00A11060">
        <w:rPr>
          <w:b/>
          <w:bCs/>
        </w:rPr>
        <w:t>Data Formats and Standards</w:t>
      </w:r>
      <w:r>
        <w:t xml:space="preserve"> </w:t>
      </w:r>
    </w:p>
    <w:p w14:paraId="7DD5E244" w14:textId="77777777" w:rsidR="00EA66AC" w:rsidRDefault="00B92966" w:rsidP="00B92966">
      <w:r>
        <w:t>Most data will be in flat file/text/csv or other open-file formats. Some data will be in Microsoft Excel (.</w:t>
      </w:r>
      <w:proofErr w:type="spellStart"/>
      <w:r>
        <w:t>xls</w:t>
      </w:r>
      <w:proofErr w:type="spellEnd"/>
      <w:r>
        <w:t xml:space="preserve">), Portable Document Format (.pdf), and Joint Photographic Experts Group (.jpg) format. Laboratory protocols and experimental conditions will be produced in Microsoft Word, laboratory notebook, manufacturer’s pamphlet, or pdf format. When published to their respective data repositories phenotype/traits/laboratory variables, SNP genotypes, and diet data will be in flat file/text/csv format, as appropriate to the repository. Metadata and data standards appropriate to the biomedical research community guidelines such as FAIR, NIH’s Common Data Elements (CDE), and Minimum Information for Biological and Biomedical Investigations (MIBBI) will be used. </w:t>
      </w:r>
    </w:p>
    <w:p w14:paraId="3747EF3C" w14:textId="77777777" w:rsidR="00EA66AC" w:rsidRDefault="00B92966" w:rsidP="00B92966">
      <w:r w:rsidRPr="00A11060">
        <w:rPr>
          <w:b/>
          <w:bCs/>
        </w:rPr>
        <w:t>Data Storage and Preservation</w:t>
      </w:r>
      <w:r>
        <w:t xml:space="preserve"> </w:t>
      </w:r>
    </w:p>
    <w:p w14:paraId="0325A9D0" w14:textId="77777777" w:rsidR="00EA66AC" w:rsidRDefault="00B92966" w:rsidP="00B92966">
      <w:r>
        <w:t xml:space="preserve">A research computing cluster at Tufts University that exceeds the project’s computational and storage needs is readily accessed over secure connections by laboratory members. Specific procedures regarding logs, firewalls, networked hardware, and/or security testing are all overseen by the Scientific Computing group of the HNRCA. Based on the amount of data we anticipate generating and the types of analyses to be performed, the estimated need is 50 TB of data storage (currently using 22 TB) and 1.0 TB of RAM (currently using 0.5). We will review these numbers annually </w:t>
      </w:r>
      <w:proofErr w:type="gramStart"/>
      <w:r>
        <w:t>in order to</w:t>
      </w:r>
      <w:proofErr w:type="gramEnd"/>
      <w:r>
        <w:t xml:space="preserve"> stay abreast of our group’s needs. </w:t>
      </w:r>
      <w:proofErr w:type="spellStart"/>
      <w:r>
        <w:t>LabArchives</w:t>
      </w:r>
      <w:proofErr w:type="spellEnd"/>
      <w:r>
        <w:t xml:space="preserve"> digital laboratory notebook software, via a license with our university partner, will be used to help store and organize 19 laboratory protocols and research data. </w:t>
      </w:r>
      <w:proofErr w:type="spellStart"/>
      <w:r>
        <w:t>LabArchives</w:t>
      </w:r>
      <w:proofErr w:type="spellEnd"/>
      <w:r>
        <w:t xml:space="preserve"> provides for standardization of research practices and protocols, provides a complete and lasting record of discovery, and adheres to NIH and NSF research data management requirements. </w:t>
      </w:r>
    </w:p>
    <w:p w14:paraId="5CBC4ACB" w14:textId="77777777" w:rsidR="00EA66AC" w:rsidRDefault="00B92966" w:rsidP="00B92966">
      <w:r>
        <w:t xml:space="preserve">Internal policy of the HNRCA meets or exceeds data retention and backup policy and guidelines of both NIH and NSF; we will adhere to this policy, which requires that all research records and data will be maintained for a minimum of 10 years after the termination of the research project (some minor exceptions where certain sponsors may require longer archival periods). All data will be stored on departmental network drives. These network drives have a concurrent backup system and are backed up daily to an off-site disaster recovery server. Additionally, weekly tape backups are performed. These multiple forms of storage and backup provide </w:t>
      </w:r>
      <w:proofErr w:type="gramStart"/>
      <w:r>
        <w:t>the redundancy</w:t>
      </w:r>
      <w:proofErr w:type="gramEnd"/>
      <w:r>
        <w:t xml:space="preserve"> to protect the data against any damaging event, including loss or degradation. </w:t>
      </w:r>
    </w:p>
    <w:p w14:paraId="71D311A8" w14:textId="77777777" w:rsidR="00EA66AC" w:rsidRDefault="00B92966" w:rsidP="00B92966">
      <w:r w:rsidRPr="00A11060">
        <w:rPr>
          <w:b/>
          <w:bCs/>
        </w:rPr>
        <w:t>Data Sharing and Public Access</w:t>
      </w:r>
      <w:r>
        <w:t xml:space="preserve"> </w:t>
      </w:r>
    </w:p>
    <w:p w14:paraId="02F60C69" w14:textId="77777777" w:rsidR="00EA66AC" w:rsidRDefault="00B92966" w:rsidP="00B92966">
      <w:r>
        <w:t xml:space="preserve">Data acquisition, data handling, and electronic communication are carried out using desktop computers networked and linked to the central HNRCA server. Data acquisition (i.e., acquiring processed, de-identified data) will be via secure ftp. Data acquired from collaborators will not be disseminated to third parties, in accordance with standard agreements between collaborators. Data acquired or copied from public databases will retain their original source license/access designation. There will be no permission restrictions placed on data generated from this project. No issues should arise from our intention to share data publicly and data does not intend to be withheld. </w:t>
      </w:r>
    </w:p>
    <w:p w14:paraId="1C1AF7A3" w14:textId="77777777" w:rsidR="00EA66AC" w:rsidRDefault="00B92966" w:rsidP="00B92966">
      <w:r>
        <w:t xml:space="preserve">Data will be made available upon publication via the following mechanisms. Per NIH guidelines and requirements of receipt of NIH funding, the PI must have a plan in place for management and deposit of population/cohort data. These data will be deposited into </w:t>
      </w:r>
      <w:proofErr w:type="spellStart"/>
      <w:r>
        <w:t>dbGaP</w:t>
      </w:r>
      <w:proofErr w:type="spellEnd"/>
      <w:r>
        <w:t xml:space="preserve"> (NIH) under the direction of the principal investigator. A substantial portion of our research is via the CHARGE Consortium </w:t>
      </w:r>
      <w:r>
        <w:lastRenderedPageBreak/>
        <w:t xml:space="preserve">(Cohorts for Heart and Aging Research in Genomic Epidemiology), and summary results from genomic studies are to be loaded into the CHARGE site of </w:t>
      </w:r>
      <w:proofErr w:type="spellStart"/>
      <w:r>
        <w:t>dbGaP</w:t>
      </w:r>
      <w:proofErr w:type="spellEnd"/>
      <w:r>
        <w:t xml:space="preserve"> after publication of the main findings. Outside of CHARGE, any data relevant to new clinical trials, including meta-analyses of existing population/cohort studies, will be deposited at clinicaltrials.gov. Although much of the data that will be used is already publicly available data that we intend to download and use for our analyses, we plan to deposit new data generated from this publicly available data in the repository of origin, with most data going to </w:t>
      </w:r>
      <w:proofErr w:type="spellStart"/>
      <w:r>
        <w:t>dbGaP</w:t>
      </w:r>
      <w:proofErr w:type="spellEnd"/>
      <w:r>
        <w:t xml:space="preserve">. Microbiome sequence data will be deposited in GenBank. The Metabolomics Workbench (NIH) is a public repository for metabolomics data. Such data may be embargoed until either the completion of the study, which is standard practice, or until publication of the scientific report. </w:t>
      </w:r>
    </w:p>
    <w:p w14:paraId="3CA5EA14" w14:textId="77777777" w:rsidR="00EA66AC" w:rsidRDefault="00B92966" w:rsidP="00B92966">
      <w:r>
        <w:t xml:space="preserve">For data that are not appropriate for </w:t>
      </w:r>
      <w:proofErr w:type="spellStart"/>
      <w:r>
        <w:t>dbGaP</w:t>
      </w:r>
      <w:proofErr w:type="spellEnd"/>
      <w:r>
        <w:t xml:space="preserve"> or other disciplinary repositories, we intend to use the USDA National Agriculture Library’s Ag Data Commons as a repository. When applicable, we can submit a Data Descriptor article to the journal Scientific Data (Springer Nature) for peer review of data deposited in Ag Data Commons (data.nal.usda.gov/). </w:t>
      </w:r>
    </w:p>
    <w:p w14:paraId="79914930" w14:textId="77777777" w:rsidR="00EA66AC" w:rsidRDefault="00B92966" w:rsidP="00B92966">
      <w:r w:rsidRPr="00A11060">
        <w:rPr>
          <w:b/>
          <w:bCs/>
        </w:rPr>
        <w:t>Roles and Responsibilities</w:t>
      </w:r>
      <w:r>
        <w:t xml:space="preserve"> </w:t>
      </w:r>
    </w:p>
    <w:p w14:paraId="1CC70E31" w14:textId="77777777" w:rsidR="00EA66AC" w:rsidRDefault="00B92966" w:rsidP="00B92966">
      <w:r>
        <w:t xml:space="preserve">The principal investigator and the senior author(s) of a study have the responsibility to make certain that all non-PII data are made publicly available. The Biostatistics and Data Management 20 Core Unit of the JM-HNRCA has responsibility for evaluating and assessing individual laboratory data management plans, and advising on and assisting with data acquisition, storage, and sharing responsibilities. When key personnel leave the project, the principal investigator will ensure the successful reassignment of project data management responsibilities. </w:t>
      </w:r>
    </w:p>
    <w:p w14:paraId="6BBE05A9" w14:textId="77777777" w:rsidR="00EA66AC" w:rsidRDefault="00B92966" w:rsidP="00B92966">
      <w:r w:rsidRPr="00A11060">
        <w:rPr>
          <w:b/>
          <w:bCs/>
        </w:rPr>
        <w:t>Monitoring and Reporting</w:t>
      </w:r>
      <w:r>
        <w:t xml:space="preserve"> </w:t>
      </w:r>
    </w:p>
    <w:p w14:paraId="11D9F0D7" w14:textId="081D5316" w:rsidR="00B92966" w:rsidRDefault="00B92966" w:rsidP="00B92966">
      <w:r>
        <w:t>The principal investigator and senior author(s) will revisit this data management plan, with the assistance of the Biostatistics and Data Management Core Unit of the JM-HNRCA if needed, on an annual or more frequent basis to make any necessary changes or additions to the plan. Data publications will be listed in annual project reports</w:t>
      </w:r>
    </w:p>
    <w:p w14:paraId="680930F5" w14:textId="77777777" w:rsidR="00A11060" w:rsidRDefault="00A11060" w:rsidP="00A11060"/>
    <w:p w14:paraId="418D5E10" w14:textId="0BD3D1C0" w:rsidR="00EA66AC" w:rsidRPr="009502AA" w:rsidRDefault="00EA66AC" w:rsidP="00EA66AC">
      <w:pPr>
        <w:pStyle w:val="Heading1"/>
        <w:rPr>
          <w:b/>
          <w:bCs/>
          <w:color w:val="auto"/>
        </w:rPr>
      </w:pPr>
      <w:r w:rsidRPr="009502AA">
        <w:rPr>
          <w:b/>
          <w:bCs/>
          <w:color w:val="auto"/>
        </w:rPr>
        <w:t>additional resources</w:t>
      </w:r>
    </w:p>
    <w:p w14:paraId="67851E47" w14:textId="76B7E6C7" w:rsidR="00EA66AC" w:rsidRPr="00EA66AC" w:rsidRDefault="00EA66AC" w:rsidP="00EA66AC">
      <w:r w:rsidRPr="00EA66AC">
        <w:t>These pages on the NAL Website provide support:</w:t>
      </w:r>
      <w:r w:rsidR="00A11060">
        <w:t xml:space="preserve"> </w:t>
      </w:r>
      <w:r w:rsidR="00A11060" w:rsidRPr="009804F7">
        <w:rPr>
          <w:b/>
          <w:bCs/>
          <w:sz w:val="24"/>
          <w:szCs w:val="24"/>
        </w:rPr>
        <w:t>[https://nal.usda.gov/data/data-management-planning]</w:t>
      </w:r>
    </w:p>
    <w:p w14:paraId="78E76CFF" w14:textId="77777777" w:rsidR="00EA66AC" w:rsidRPr="00EA66AC" w:rsidRDefault="00EA66AC" w:rsidP="00EA66AC">
      <w:pPr>
        <w:numPr>
          <w:ilvl w:val="0"/>
          <w:numId w:val="13"/>
        </w:numPr>
      </w:pPr>
      <w:hyperlink r:id="rId16" w:history="1">
        <w:r w:rsidRPr="00EA66AC">
          <w:rPr>
            <w:rStyle w:val="Hyperlink"/>
          </w:rPr>
          <w:t>Create a DMP</w:t>
        </w:r>
      </w:hyperlink>
    </w:p>
    <w:p w14:paraId="614D5F5B" w14:textId="77777777" w:rsidR="00EA66AC" w:rsidRPr="00EA66AC" w:rsidRDefault="00EA66AC" w:rsidP="00EA66AC">
      <w:pPr>
        <w:numPr>
          <w:ilvl w:val="0"/>
          <w:numId w:val="13"/>
        </w:numPr>
      </w:pPr>
      <w:hyperlink r:id="rId17" w:history="1">
        <w:r w:rsidRPr="00EA66AC">
          <w:rPr>
            <w:rStyle w:val="Hyperlink"/>
          </w:rPr>
          <w:t>DMP feedback and review</w:t>
        </w:r>
      </w:hyperlink>
    </w:p>
    <w:p w14:paraId="70501579" w14:textId="77777777" w:rsidR="00EA66AC" w:rsidRPr="00EA66AC" w:rsidRDefault="00EA66AC" w:rsidP="00EA66AC">
      <w:pPr>
        <w:numPr>
          <w:ilvl w:val="0"/>
          <w:numId w:val="13"/>
        </w:numPr>
      </w:pPr>
      <w:hyperlink r:id="rId18" w:history="1">
        <w:r w:rsidRPr="00EA66AC">
          <w:rPr>
            <w:rStyle w:val="Hyperlink"/>
          </w:rPr>
          <w:t>Find a data repository</w:t>
        </w:r>
      </w:hyperlink>
    </w:p>
    <w:p w14:paraId="4B54C6FB" w14:textId="77777777" w:rsidR="00EA66AC" w:rsidRPr="00EA66AC" w:rsidRDefault="00EA66AC" w:rsidP="00EA66AC">
      <w:pPr>
        <w:numPr>
          <w:ilvl w:val="0"/>
          <w:numId w:val="13"/>
        </w:numPr>
      </w:pPr>
      <w:hyperlink r:id="rId19" w:history="1">
        <w:r w:rsidRPr="00EA66AC">
          <w:rPr>
            <w:rStyle w:val="Hyperlink"/>
          </w:rPr>
          <w:t>Data management glossary</w:t>
        </w:r>
      </w:hyperlink>
    </w:p>
    <w:p w14:paraId="0E626720" w14:textId="77777777" w:rsidR="00EA66AC" w:rsidRPr="00EA66AC" w:rsidRDefault="00EA66AC" w:rsidP="00EA66AC">
      <w:pPr>
        <w:numPr>
          <w:ilvl w:val="0"/>
          <w:numId w:val="13"/>
        </w:numPr>
      </w:pPr>
      <w:hyperlink r:id="rId20" w:history="1">
        <w:r w:rsidRPr="00EA66AC">
          <w:rPr>
            <w:rStyle w:val="Hyperlink"/>
          </w:rPr>
          <w:t>Data management videos</w:t>
        </w:r>
      </w:hyperlink>
    </w:p>
    <w:p w14:paraId="701AE53A" w14:textId="44CAE726" w:rsidR="00EA66AC" w:rsidRPr="00EA66AC" w:rsidRDefault="00EA66AC" w:rsidP="00EA66AC">
      <w:r w:rsidRPr="00EA66AC">
        <w:rPr>
          <w:b/>
          <w:bCs/>
        </w:rPr>
        <w:t>Note:</w:t>
      </w:r>
      <w:r w:rsidRPr="00EA66AC">
        <w:t xml:space="preserve"> to the extent known, it is important for the plan to show where data might be accessed &amp; preserved.  This is a starting point for compliance services to potentially harvest </w:t>
      </w:r>
      <w:r w:rsidR="009804F7">
        <w:t xml:space="preserve">metadata </w:t>
      </w:r>
      <w:r w:rsidRPr="00EA66AC">
        <w:t>data</w:t>
      </w:r>
      <w:r w:rsidR="009804F7">
        <w:t xml:space="preserve"> for the enterprise data catalog</w:t>
      </w:r>
      <w:r w:rsidRPr="00EA66AC">
        <w:t>.</w:t>
      </w:r>
    </w:p>
    <w:p w14:paraId="58227283" w14:textId="77777777" w:rsidR="00EA66AC" w:rsidRPr="00A11060" w:rsidRDefault="00EA66AC" w:rsidP="00A11060"/>
    <w:sectPr w:rsidR="00EA66AC" w:rsidRPr="00A11060" w:rsidSect="00A11060">
      <w:pgSz w:w="12240" w:h="15840"/>
      <w:pgMar w:top="360" w:right="720" w:bottom="180" w:left="720" w:header="72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FDDA5" w14:textId="77777777" w:rsidR="00271079" w:rsidRDefault="00271079" w:rsidP="00EA66AC">
      <w:pPr>
        <w:spacing w:before="0" w:after="0" w:line="240" w:lineRule="auto"/>
      </w:pPr>
      <w:r>
        <w:separator/>
      </w:r>
    </w:p>
  </w:endnote>
  <w:endnote w:type="continuationSeparator" w:id="0">
    <w:p w14:paraId="7F7CFECE" w14:textId="77777777" w:rsidR="00271079" w:rsidRDefault="00271079" w:rsidP="00EA66A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61A06" w14:textId="77777777" w:rsidR="00271079" w:rsidRDefault="00271079" w:rsidP="00EA66AC">
      <w:pPr>
        <w:spacing w:before="0" w:after="0" w:line="240" w:lineRule="auto"/>
      </w:pPr>
      <w:r>
        <w:separator/>
      </w:r>
    </w:p>
  </w:footnote>
  <w:footnote w:type="continuationSeparator" w:id="0">
    <w:p w14:paraId="53CF7A23" w14:textId="77777777" w:rsidR="00271079" w:rsidRDefault="00271079" w:rsidP="00EA66A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0763"/>
    <w:multiLevelType w:val="hybridMultilevel"/>
    <w:tmpl w:val="792A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77ED4"/>
    <w:multiLevelType w:val="hybridMultilevel"/>
    <w:tmpl w:val="9E6ACF54"/>
    <w:lvl w:ilvl="0" w:tplc="5EBCD44E">
      <w:start w:val="1"/>
      <w:numFmt w:val="bullet"/>
      <w:lvlText w:val="•"/>
      <w:lvlJc w:val="left"/>
      <w:pPr>
        <w:tabs>
          <w:tab w:val="num" w:pos="720"/>
        </w:tabs>
        <w:ind w:left="720" w:hanging="360"/>
      </w:pPr>
      <w:rPr>
        <w:rFonts w:ascii="Arial" w:hAnsi="Arial" w:hint="default"/>
      </w:rPr>
    </w:lvl>
    <w:lvl w:ilvl="1" w:tplc="3A04F8BC" w:tentative="1">
      <w:start w:val="1"/>
      <w:numFmt w:val="bullet"/>
      <w:lvlText w:val="•"/>
      <w:lvlJc w:val="left"/>
      <w:pPr>
        <w:tabs>
          <w:tab w:val="num" w:pos="1440"/>
        </w:tabs>
        <w:ind w:left="1440" w:hanging="360"/>
      </w:pPr>
      <w:rPr>
        <w:rFonts w:ascii="Arial" w:hAnsi="Arial" w:hint="default"/>
      </w:rPr>
    </w:lvl>
    <w:lvl w:ilvl="2" w:tplc="C56E87DC" w:tentative="1">
      <w:start w:val="1"/>
      <w:numFmt w:val="bullet"/>
      <w:lvlText w:val="•"/>
      <w:lvlJc w:val="left"/>
      <w:pPr>
        <w:tabs>
          <w:tab w:val="num" w:pos="2160"/>
        </w:tabs>
        <w:ind w:left="2160" w:hanging="360"/>
      </w:pPr>
      <w:rPr>
        <w:rFonts w:ascii="Arial" w:hAnsi="Arial" w:hint="default"/>
      </w:rPr>
    </w:lvl>
    <w:lvl w:ilvl="3" w:tplc="97841BFC" w:tentative="1">
      <w:start w:val="1"/>
      <w:numFmt w:val="bullet"/>
      <w:lvlText w:val="•"/>
      <w:lvlJc w:val="left"/>
      <w:pPr>
        <w:tabs>
          <w:tab w:val="num" w:pos="2880"/>
        </w:tabs>
        <w:ind w:left="2880" w:hanging="360"/>
      </w:pPr>
      <w:rPr>
        <w:rFonts w:ascii="Arial" w:hAnsi="Arial" w:hint="default"/>
      </w:rPr>
    </w:lvl>
    <w:lvl w:ilvl="4" w:tplc="E11A5BCA" w:tentative="1">
      <w:start w:val="1"/>
      <w:numFmt w:val="bullet"/>
      <w:lvlText w:val="•"/>
      <w:lvlJc w:val="left"/>
      <w:pPr>
        <w:tabs>
          <w:tab w:val="num" w:pos="3600"/>
        </w:tabs>
        <w:ind w:left="3600" w:hanging="360"/>
      </w:pPr>
      <w:rPr>
        <w:rFonts w:ascii="Arial" w:hAnsi="Arial" w:hint="default"/>
      </w:rPr>
    </w:lvl>
    <w:lvl w:ilvl="5" w:tplc="E43ECF42" w:tentative="1">
      <w:start w:val="1"/>
      <w:numFmt w:val="bullet"/>
      <w:lvlText w:val="•"/>
      <w:lvlJc w:val="left"/>
      <w:pPr>
        <w:tabs>
          <w:tab w:val="num" w:pos="4320"/>
        </w:tabs>
        <w:ind w:left="4320" w:hanging="360"/>
      </w:pPr>
      <w:rPr>
        <w:rFonts w:ascii="Arial" w:hAnsi="Arial" w:hint="default"/>
      </w:rPr>
    </w:lvl>
    <w:lvl w:ilvl="6" w:tplc="B802C508" w:tentative="1">
      <w:start w:val="1"/>
      <w:numFmt w:val="bullet"/>
      <w:lvlText w:val="•"/>
      <w:lvlJc w:val="left"/>
      <w:pPr>
        <w:tabs>
          <w:tab w:val="num" w:pos="5040"/>
        </w:tabs>
        <w:ind w:left="5040" w:hanging="360"/>
      </w:pPr>
      <w:rPr>
        <w:rFonts w:ascii="Arial" w:hAnsi="Arial" w:hint="default"/>
      </w:rPr>
    </w:lvl>
    <w:lvl w:ilvl="7" w:tplc="6F0E0F76" w:tentative="1">
      <w:start w:val="1"/>
      <w:numFmt w:val="bullet"/>
      <w:lvlText w:val="•"/>
      <w:lvlJc w:val="left"/>
      <w:pPr>
        <w:tabs>
          <w:tab w:val="num" w:pos="5760"/>
        </w:tabs>
        <w:ind w:left="5760" w:hanging="360"/>
      </w:pPr>
      <w:rPr>
        <w:rFonts w:ascii="Arial" w:hAnsi="Arial" w:hint="default"/>
      </w:rPr>
    </w:lvl>
    <w:lvl w:ilvl="8" w:tplc="A7F8404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9464D9"/>
    <w:multiLevelType w:val="hybridMultilevel"/>
    <w:tmpl w:val="3F565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13742"/>
    <w:multiLevelType w:val="hybridMultilevel"/>
    <w:tmpl w:val="44000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5276A"/>
    <w:multiLevelType w:val="hybridMultilevel"/>
    <w:tmpl w:val="8AE2A08C"/>
    <w:lvl w:ilvl="0" w:tplc="878469E4">
      <w:start w:val="1"/>
      <w:numFmt w:val="bullet"/>
      <w:lvlText w:val="•"/>
      <w:lvlJc w:val="left"/>
      <w:pPr>
        <w:tabs>
          <w:tab w:val="num" w:pos="720"/>
        </w:tabs>
        <w:ind w:left="720" w:hanging="360"/>
      </w:pPr>
      <w:rPr>
        <w:rFonts w:ascii="Arial" w:hAnsi="Arial" w:hint="default"/>
      </w:rPr>
    </w:lvl>
    <w:lvl w:ilvl="1" w:tplc="D72E7E8C" w:tentative="1">
      <w:start w:val="1"/>
      <w:numFmt w:val="bullet"/>
      <w:lvlText w:val="•"/>
      <w:lvlJc w:val="left"/>
      <w:pPr>
        <w:tabs>
          <w:tab w:val="num" w:pos="1440"/>
        </w:tabs>
        <w:ind w:left="1440" w:hanging="360"/>
      </w:pPr>
      <w:rPr>
        <w:rFonts w:ascii="Arial" w:hAnsi="Arial" w:hint="default"/>
      </w:rPr>
    </w:lvl>
    <w:lvl w:ilvl="2" w:tplc="26EE063E" w:tentative="1">
      <w:start w:val="1"/>
      <w:numFmt w:val="bullet"/>
      <w:lvlText w:val="•"/>
      <w:lvlJc w:val="left"/>
      <w:pPr>
        <w:tabs>
          <w:tab w:val="num" w:pos="2160"/>
        </w:tabs>
        <w:ind w:left="2160" w:hanging="360"/>
      </w:pPr>
      <w:rPr>
        <w:rFonts w:ascii="Arial" w:hAnsi="Arial" w:hint="default"/>
      </w:rPr>
    </w:lvl>
    <w:lvl w:ilvl="3" w:tplc="D7380090" w:tentative="1">
      <w:start w:val="1"/>
      <w:numFmt w:val="bullet"/>
      <w:lvlText w:val="•"/>
      <w:lvlJc w:val="left"/>
      <w:pPr>
        <w:tabs>
          <w:tab w:val="num" w:pos="2880"/>
        </w:tabs>
        <w:ind w:left="2880" w:hanging="360"/>
      </w:pPr>
      <w:rPr>
        <w:rFonts w:ascii="Arial" w:hAnsi="Arial" w:hint="default"/>
      </w:rPr>
    </w:lvl>
    <w:lvl w:ilvl="4" w:tplc="0F9069B6" w:tentative="1">
      <w:start w:val="1"/>
      <w:numFmt w:val="bullet"/>
      <w:lvlText w:val="•"/>
      <w:lvlJc w:val="left"/>
      <w:pPr>
        <w:tabs>
          <w:tab w:val="num" w:pos="3600"/>
        </w:tabs>
        <w:ind w:left="3600" w:hanging="360"/>
      </w:pPr>
      <w:rPr>
        <w:rFonts w:ascii="Arial" w:hAnsi="Arial" w:hint="default"/>
      </w:rPr>
    </w:lvl>
    <w:lvl w:ilvl="5" w:tplc="0764C542" w:tentative="1">
      <w:start w:val="1"/>
      <w:numFmt w:val="bullet"/>
      <w:lvlText w:val="•"/>
      <w:lvlJc w:val="left"/>
      <w:pPr>
        <w:tabs>
          <w:tab w:val="num" w:pos="4320"/>
        </w:tabs>
        <w:ind w:left="4320" w:hanging="360"/>
      </w:pPr>
      <w:rPr>
        <w:rFonts w:ascii="Arial" w:hAnsi="Arial" w:hint="default"/>
      </w:rPr>
    </w:lvl>
    <w:lvl w:ilvl="6" w:tplc="32240D46" w:tentative="1">
      <w:start w:val="1"/>
      <w:numFmt w:val="bullet"/>
      <w:lvlText w:val="•"/>
      <w:lvlJc w:val="left"/>
      <w:pPr>
        <w:tabs>
          <w:tab w:val="num" w:pos="5040"/>
        </w:tabs>
        <w:ind w:left="5040" w:hanging="360"/>
      </w:pPr>
      <w:rPr>
        <w:rFonts w:ascii="Arial" w:hAnsi="Arial" w:hint="default"/>
      </w:rPr>
    </w:lvl>
    <w:lvl w:ilvl="7" w:tplc="79AC6164" w:tentative="1">
      <w:start w:val="1"/>
      <w:numFmt w:val="bullet"/>
      <w:lvlText w:val="•"/>
      <w:lvlJc w:val="left"/>
      <w:pPr>
        <w:tabs>
          <w:tab w:val="num" w:pos="5760"/>
        </w:tabs>
        <w:ind w:left="5760" w:hanging="360"/>
      </w:pPr>
      <w:rPr>
        <w:rFonts w:ascii="Arial" w:hAnsi="Arial" w:hint="default"/>
      </w:rPr>
    </w:lvl>
    <w:lvl w:ilvl="8" w:tplc="A6F0C98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8795775"/>
    <w:multiLevelType w:val="hybridMultilevel"/>
    <w:tmpl w:val="D402F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734A00"/>
    <w:multiLevelType w:val="hybridMultilevel"/>
    <w:tmpl w:val="BC521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8766A"/>
    <w:multiLevelType w:val="hybridMultilevel"/>
    <w:tmpl w:val="3078D3E4"/>
    <w:lvl w:ilvl="0" w:tplc="490A57C0">
      <w:start w:val="1"/>
      <w:numFmt w:val="bullet"/>
      <w:lvlText w:val="•"/>
      <w:lvlJc w:val="left"/>
      <w:pPr>
        <w:tabs>
          <w:tab w:val="num" w:pos="720"/>
        </w:tabs>
        <w:ind w:left="720" w:hanging="360"/>
      </w:pPr>
      <w:rPr>
        <w:rFonts w:ascii="Arial" w:hAnsi="Arial" w:hint="default"/>
      </w:rPr>
    </w:lvl>
    <w:lvl w:ilvl="1" w:tplc="DB223BD4" w:tentative="1">
      <w:start w:val="1"/>
      <w:numFmt w:val="bullet"/>
      <w:lvlText w:val="•"/>
      <w:lvlJc w:val="left"/>
      <w:pPr>
        <w:tabs>
          <w:tab w:val="num" w:pos="1440"/>
        </w:tabs>
        <w:ind w:left="1440" w:hanging="360"/>
      </w:pPr>
      <w:rPr>
        <w:rFonts w:ascii="Arial" w:hAnsi="Arial" w:hint="default"/>
      </w:rPr>
    </w:lvl>
    <w:lvl w:ilvl="2" w:tplc="8A02FAEA" w:tentative="1">
      <w:start w:val="1"/>
      <w:numFmt w:val="bullet"/>
      <w:lvlText w:val="•"/>
      <w:lvlJc w:val="left"/>
      <w:pPr>
        <w:tabs>
          <w:tab w:val="num" w:pos="2160"/>
        </w:tabs>
        <w:ind w:left="2160" w:hanging="360"/>
      </w:pPr>
      <w:rPr>
        <w:rFonts w:ascii="Arial" w:hAnsi="Arial" w:hint="default"/>
      </w:rPr>
    </w:lvl>
    <w:lvl w:ilvl="3" w:tplc="ABE4C84E" w:tentative="1">
      <w:start w:val="1"/>
      <w:numFmt w:val="bullet"/>
      <w:lvlText w:val="•"/>
      <w:lvlJc w:val="left"/>
      <w:pPr>
        <w:tabs>
          <w:tab w:val="num" w:pos="2880"/>
        </w:tabs>
        <w:ind w:left="2880" w:hanging="360"/>
      </w:pPr>
      <w:rPr>
        <w:rFonts w:ascii="Arial" w:hAnsi="Arial" w:hint="default"/>
      </w:rPr>
    </w:lvl>
    <w:lvl w:ilvl="4" w:tplc="005C2078" w:tentative="1">
      <w:start w:val="1"/>
      <w:numFmt w:val="bullet"/>
      <w:lvlText w:val="•"/>
      <w:lvlJc w:val="left"/>
      <w:pPr>
        <w:tabs>
          <w:tab w:val="num" w:pos="3600"/>
        </w:tabs>
        <w:ind w:left="3600" w:hanging="360"/>
      </w:pPr>
      <w:rPr>
        <w:rFonts w:ascii="Arial" w:hAnsi="Arial" w:hint="default"/>
      </w:rPr>
    </w:lvl>
    <w:lvl w:ilvl="5" w:tplc="20F01E74" w:tentative="1">
      <w:start w:val="1"/>
      <w:numFmt w:val="bullet"/>
      <w:lvlText w:val="•"/>
      <w:lvlJc w:val="left"/>
      <w:pPr>
        <w:tabs>
          <w:tab w:val="num" w:pos="4320"/>
        </w:tabs>
        <w:ind w:left="4320" w:hanging="360"/>
      </w:pPr>
      <w:rPr>
        <w:rFonts w:ascii="Arial" w:hAnsi="Arial" w:hint="default"/>
      </w:rPr>
    </w:lvl>
    <w:lvl w:ilvl="6" w:tplc="A094E43E" w:tentative="1">
      <w:start w:val="1"/>
      <w:numFmt w:val="bullet"/>
      <w:lvlText w:val="•"/>
      <w:lvlJc w:val="left"/>
      <w:pPr>
        <w:tabs>
          <w:tab w:val="num" w:pos="5040"/>
        </w:tabs>
        <w:ind w:left="5040" w:hanging="360"/>
      </w:pPr>
      <w:rPr>
        <w:rFonts w:ascii="Arial" w:hAnsi="Arial" w:hint="default"/>
      </w:rPr>
    </w:lvl>
    <w:lvl w:ilvl="7" w:tplc="9F8C33AC" w:tentative="1">
      <w:start w:val="1"/>
      <w:numFmt w:val="bullet"/>
      <w:lvlText w:val="•"/>
      <w:lvlJc w:val="left"/>
      <w:pPr>
        <w:tabs>
          <w:tab w:val="num" w:pos="5760"/>
        </w:tabs>
        <w:ind w:left="5760" w:hanging="360"/>
      </w:pPr>
      <w:rPr>
        <w:rFonts w:ascii="Arial" w:hAnsi="Arial" w:hint="default"/>
      </w:rPr>
    </w:lvl>
    <w:lvl w:ilvl="8" w:tplc="C77683E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70B0EF3"/>
    <w:multiLevelType w:val="hybridMultilevel"/>
    <w:tmpl w:val="557AB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EA666E"/>
    <w:multiLevelType w:val="hybridMultilevel"/>
    <w:tmpl w:val="8E549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FF6F78"/>
    <w:multiLevelType w:val="hybridMultilevel"/>
    <w:tmpl w:val="D18C6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5E330C"/>
    <w:multiLevelType w:val="hybridMultilevel"/>
    <w:tmpl w:val="0B96E53C"/>
    <w:lvl w:ilvl="0" w:tplc="B9242916">
      <w:start w:val="1"/>
      <w:numFmt w:val="bullet"/>
      <w:lvlText w:val="•"/>
      <w:lvlJc w:val="left"/>
      <w:pPr>
        <w:tabs>
          <w:tab w:val="num" w:pos="720"/>
        </w:tabs>
        <w:ind w:left="720" w:hanging="360"/>
      </w:pPr>
      <w:rPr>
        <w:rFonts w:ascii="Arial" w:hAnsi="Arial" w:hint="default"/>
      </w:rPr>
    </w:lvl>
    <w:lvl w:ilvl="1" w:tplc="8A0C5DFC" w:tentative="1">
      <w:start w:val="1"/>
      <w:numFmt w:val="bullet"/>
      <w:lvlText w:val="•"/>
      <w:lvlJc w:val="left"/>
      <w:pPr>
        <w:tabs>
          <w:tab w:val="num" w:pos="1440"/>
        </w:tabs>
        <w:ind w:left="1440" w:hanging="360"/>
      </w:pPr>
      <w:rPr>
        <w:rFonts w:ascii="Arial" w:hAnsi="Arial" w:hint="default"/>
      </w:rPr>
    </w:lvl>
    <w:lvl w:ilvl="2" w:tplc="EFF66070" w:tentative="1">
      <w:start w:val="1"/>
      <w:numFmt w:val="bullet"/>
      <w:lvlText w:val="•"/>
      <w:lvlJc w:val="left"/>
      <w:pPr>
        <w:tabs>
          <w:tab w:val="num" w:pos="2160"/>
        </w:tabs>
        <w:ind w:left="2160" w:hanging="360"/>
      </w:pPr>
      <w:rPr>
        <w:rFonts w:ascii="Arial" w:hAnsi="Arial" w:hint="default"/>
      </w:rPr>
    </w:lvl>
    <w:lvl w:ilvl="3" w:tplc="3C7A720E" w:tentative="1">
      <w:start w:val="1"/>
      <w:numFmt w:val="bullet"/>
      <w:lvlText w:val="•"/>
      <w:lvlJc w:val="left"/>
      <w:pPr>
        <w:tabs>
          <w:tab w:val="num" w:pos="2880"/>
        </w:tabs>
        <w:ind w:left="2880" w:hanging="360"/>
      </w:pPr>
      <w:rPr>
        <w:rFonts w:ascii="Arial" w:hAnsi="Arial" w:hint="default"/>
      </w:rPr>
    </w:lvl>
    <w:lvl w:ilvl="4" w:tplc="1FA2F656" w:tentative="1">
      <w:start w:val="1"/>
      <w:numFmt w:val="bullet"/>
      <w:lvlText w:val="•"/>
      <w:lvlJc w:val="left"/>
      <w:pPr>
        <w:tabs>
          <w:tab w:val="num" w:pos="3600"/>
        </w:tabs>
        <w:ind w:left="3600" w:hanging="360"/>
      </w:pPr>
      <w:rPr>
        <w:rFonts w:ascii="Arial" w:hAnsi="Arial" w:hint="default"/>
      </w:rPr>
    </w:lvl>
    <w:lvl w:ilvl="5" w:tplc="0A166030" w:tentative="1">
      <w:start w:val="1"/>
      <w:numFmt w:val="bullet"/>
      <w:lvlText w:val="•"/>
      <w:lvlJc w:val="left"/>
      <w:pPr>
        <w:tabs>
          <w:tab w:val="num" w:pos="4320"/>
        </w:tabs>
        <w:ind w:left="4320" w:hanging="360"/>
      </w:pPr>
      <w:rPr>
        <w:rFonts w:ascii="Arial" w:hAnsi="Arial" w:hint="default"/>
      </w:rPr>
    </w:lvl>
    <w:lvl w:ilvl="6" w:tplc="9F1694AE" w:tentative="1">
      <w:start w:val="1"/>
      <w:numFmt w:val="bullet"/>
      <w:lvlText w:val="•"/>
      <w:lvlJc w:val="left"/>
      <w:pPr>
        <w:tabs>
          <w:tab w:val="num" w:pos="5040"/>
        </w:tabs>
        <w:ind w:left="5040" w:hanging="360"/>
      </w:pPr>
      <w:rPr>
        <w:rFonts w:ascii="Arial" w:hAnsi="Arial" w:hint="default"/>
      </w:rPr>
    </w:lvl>
    <w:lvl w:ilvl="7" w:tplc="428C8718" w:tentative="1">
      <w:start w:val="1"/>
      <w:numFmt w:val="bullet"/>
      <w:lvlText w:val="•"/>
      <w:lvlJc w:val="left"/>
      <w:pPr>
        <w:tabs>
          <w:tab w:val="num" w:pos="5760"/>
        </w:tabs>
        <w:ind w:left="5760" w:hanging="360"/>
      </w:pPr>
      <w:rPr>
        <w:rFonts w:ascii="Arial" w:hAnsi="Arial" w:hint="default"/>
      </w:rPr>
    </w:lvl>
    <w:lvl w:ilvl="8" w:tplc="12106DA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FD1423E"/>
    <w:multiLevelType w:val="hybridMultilevel"/>
    <w:tmpl w:val="DE200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6466099">
    <w:abstractNumId w:val="10"/>
  </w:num>
  <w:num w:numId="2" w16cid:durableId="1891726007">
    <w:abstractNumId w:val="5"/>
  </w:num>
  <w:num w:numId="3" w16cid:durableId="1199704057">
    <w:abstractNumId w:val="6"/>
  </w:num>
  <w:num w:numId="4" w16cid:durableId="1403988881">
    <w:abstractNumId w:val="12"/>
  </w:num>
  <w:num w:numId="5" w16cid:durableId="1223904211">
    <w:abstractNumId w:val="0"/>
  </w:num>
  <w:num w:numId="6" w16cid:durableId="595408925">
    <w:abstractNumId w:val="8"/>
  </w:num>
  <w:num w:numId="7" w16cid:durableId="930507241">
    <w:abstractNumId w:val="4"/>
  </w:num>
  <w:num w:numId="8" w16cid:durableId="2092266902">
    <w:abstractNumId w:val="2"/>
  </w:num>
  <w:num w:numId="9" w16cid:durableId="2091073996">
    <w:abstractNumId w:val="9"/>
  </w:num>
  <w:num w:numId="10" w16cid:durableId="1193152025">
    <w:abstractNumId w:val="3"/>
  </w:num>
  <w:num w:numId="11" w16cid:durableId="1225750440">
    <w:abstractNumId w:val="11"/>
  </w:num>
  <w:num w:numId="12" w16cid:durableId="1267033389">
    <w:abstractNumId w:val="7"/>
  </w:num>
  <w:num w:numId="13" w16cid:durableId="1179544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2CA"/>
    <w:rsid w:val="00023925"/>
    <w:rsid w:val="00033AA9"/>
    <w:rsid w:val="000658E5"/>
    <w:rsid w:val="00094878"/>
    <w:rsid w:val="000C02C8"/>
    <w:rsid w:val="000C5E5D"/>
    <w:rsid w:val="0011721E"/>
    <w:rsid w:val="00122573"/>
    <w:rsid w:val="00136F6B"/>
    <w:rsid w:val="0014630F"/>
    <w:rsid w:val="00156240"/>
    <w:rsid w:val="002268A8"/>
    <w:rsid w:val="00266033"/>
    <w:rsid w:val="002660CF"/>
    <w:rsid w:val="00271079"/>
    <w:rsid w:val="002748F2"/>
    <w:rsid w:val="0032350A"/>
    <w:rsid w:val="003B7D05"/>
    <w:rsid w:val="003C5A8E"/>
    <w:rsid w:val="003D2D14"/>
    <w:rsid w:val="0048276E"/>
    <w:rsid w:val="00522E35"/>
    <w:rsid w:val="005973E1"/>
    <w:rsid w:val="00620587"/>
    <w:rsid w:val="00641C5C"/>
    <w:rsid w:val="00646149"/>
    <w:rsid w:val="00670BFB"/>
    <w:rsid w:val="00753A3A"/>
    <w:rsid w:val="00762EFD"/>
    <w:rsid w:val="007A3C27"/>
    <w:rsid w:val="008356FB"/>
    <w:rsid w:val="0085471A"/>
    <w:rsid w:val="00855C8E"/>
    <w:rsid w:val="008604E2"/>
    <w:rsid w:val="00860FE8"/>
    <w:rsid w:val="00867525"/>
    <w:rsid w:val="00876358"/>
    <w:rsid w:val="00895196"/>
    <w:rsid w:val="00905674"/>
    <w:rsid w:val="00942DC0"/>
    <w:rsid w:val="009502AA"/>
    <w:rsid w:val="009804F7"/>
    <w:rsid w:val="00983B1D"/>
    <w:rsid w:val="00991C0B"/>
    <w:rsid w:val="009B187D"/>
    <w:rsid w:val="00A01FB5"/>
    <w:rsid w:val="00A11060"/>
    <w:rsid w:val="00A21568"/>
    <w:rsid w:val="00B1553D"/>
    <w:rsid w:val="00B2331D"/>
    <w:rsid w:val="00B30EA3"/>
    <w:rsid w:val="00B67AA4"/>
    <w:rsid w:val="00B92966"/>
    <w:rsid w:val="00BA6881"/>
    <w:rsid w:val="00BB2C05"/>
    <w:rsid w:val="00C050AD"/>
    <w:rsid w:val="00C17947"/>
    <w:rsid w:val="00C612CA"/>
    <w:rsid w:val="00DC3D2C"/>
    <w:rsid w:val="00DD0756"/>
    <w:rsid w:val="00E0553C"/>
    <w:rsid w:val="00EA66AC"/>
    <w:rsid w:val="00EC0B65"/>
    <w:rsid w:val="00F806B0"/>
    <w:rsid w:val="00FF407B"/>
    <w:rsid w:val="2D4D3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C224E"/>
  <w15:chartTrackingRefBased/>
  <w15:docId w15:val="{694ED417-A4AE-4055-8717-D68E8399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2CA"/>
  </w:style>
  <w:style w:type="paragraph" w:styleId="Heading1">
    <w:name w:val="heading 1"/>
    <w:basedOn w:val="Normal"/>
    <w:next w:val="Normal"/>
    <w:link w:val="Heading1Char"/>
    <w:uiPriority w:val="9"/>
    <w:qFormat/>
    <w:rsid w:val="00C612CA"/>
    <w:pPr>
      <w:pBdr>
        <w:top w:val="single" w:sz="24" w:space="0" w:color="94B6D2" w:themeColor="accent1"/>
        <w:left w:val="single" w:sz="24" w:space="0" w:color="94B6D2" w:themeColor="accent1"/>
        <w:bottom w:val="single" w:sz="24" w:space="0" w:color="94B6D2" w:themeColor="accent1"/>
        <w:right w:val="single" w:sz="24" w:space="0" w:color="94B6D2" w:themeColor="accent1"/>
      </w:pBdr>
      <w:shd w:val="clear" w:color="auto" w:fill="94B6D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C612CA"/>
    <w:pPr>
      <w:pBdr>
        <w:top w:val="single" w:sz="24" w:space="0" w:color="E9F0F6" w:themeColor="accent1" w:themeTint="33"/>
        <w:left w:val="single" w:sz="24" w:space="0" w:color="E9F0F6" w:themeColor="accent1" w:themeTint="33"/>
        <w:bottom w:val="single" w:sz="24" w:space="0" w:color="E9F0F6" w:themeColor="accent1" w:themeTint="33"/>
        <w:right w:val="single" w:sz="24" w:space="0" w:color="E9F0F6" w:themeColor="accent1" w:themeTint="33"/>
      </w:pBdr>
      <w:shd w:val="clear" w:color="auto" w:fill="E9F0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C612CA"/>
    <w:pPr>
      <w:pBdr>
        <w:top w:val="single" w:sz="6" w:space="2" w:color="94B6D2" w:themeColor="accent1"/>
      </w:pBdr>
      <w:spacing w:before="300" w:after="0"/>
      <w:outlineLvl w:val="2"/>
    </w:pPr>
    <w:rPr>
      <w:caps/>
      <w:color w:val="345C7D" w:themeColor="accent1" w:themeShade="7F"/>
      <w:spacing w:val="15"/>
    </w:rPr>
  </w:style>
  <w:style w:type="paragraph" w:styleId="Heading4">
    <w:name w:val="heading 4"/>
    <w:basedOn w:val="Normal"/>
    <w:next w:val="Normal"/>
    <w:link w:val="Heading4Char"/>
    <w:uiPriority w:val="9"/>
    <w:semiHidden/>
    <w:unhideWhenUsed/>
    <w:qFormat/>
    <w:rsid w:val="00C612CA"/>
    <w:pPr>
      <w:pBdr>
        <w:top w:val="dotted" w:sz="6" w:space="2" w:color="94B6D2" w:themeColor="accent1"/>
      </w:pBdr>
      <w:spacing w:before="200" w:after="0"/>
      <w:outlineLvl w:val="3"/>
    </w:pPr>
    <w:rPr>
      <w:caps/>
      <w:color w:val="548AB7" w:themeColor="accent1" w:themeShade="BF"/>
      <w:spacing w:val="10"/>
    </w:rPr>
  </w:style>
  <w:style w:type="paragraph" w:styleId="Heading5">
    <w:name w:val="heading 5"/>
    <w:basedOn w:val="Normal"/>
    <w:next w:val="Normal"/>
    <w:link w:val="Heading5Char"/>
    <w:uiPriority w:val="9"/>
    <w:semiHidden/>
    <w:unhideWhenUsed/>
    <w:qFormat/>
    <w:rsid w:val="00C612CA"/>
    <w:pPr>
      <w:pBdr>
        <w:bottom w:val="single" w:sz="6" w:space="1" w:color="94B6D2" w:themeColor="accent1"/>
      </w:pBdr>
      <w:spacing w:before="200" w:after="0"/>
      <w:outlineLvl w:val="4"/>
    </w:pPr>
    <w:rPr>
      <w:caps/>
      <w:color w:val="548AB7" w:themeColor="accent1" w:themeShade="BF"/>
      <w:spacing w:val="10"/>
    </w:rPr>
  </w:style>
  <w:style w:type="paragraph" w:styleId="Heading6">
    <w:name w:val="heading 6"/>
    <w:basedOn w:val="Normal"/>
    <w:next w:val="Normal"/>
    <w:link w:val="Heading6Char"/>
    <w:uiPriority w:val="9"/>
    <w:semiHidden/>
    <w:unhideWhenUsed/>
    <w:qFormat/>
    <w:rsid w:val="00C612CA"/>
    <w:pPr>
      <w:pBdr>
        <w:bottom w:val="dotted" w:sz="6" w:space="1" w:color="94B6D2" w:themeColor="accent1"/>
      </w:pBdr>
      <w:spacing w:before="200" w:after="0"/>
      <w:outlineLvl w:val="5"/>
    </w:pPr>
    <w:rPr>
      <w:caps/>
      <w:color w:val="548AB7" w:themeColor="accent1" w:themeShade="BF"/>
      <w:spacing w:val="10"/>
    </w:rPr>
  </w:style>
  <w:style w:type="paragraph" w:styleId="Heading7">
    <w:name w:val="heading 7"/>
    <w:basedOn w:val="Normal"/>
    <w:next w:val="Normal"/>
    <w:link w:val="Heading7Char"/>
    <w:uiPriority w:val="9"/>
    <w:semiHidden/>
    <w:unhideWhenUsed/>
    <w:qFormat/>
    <w:rsid w:val="00C612CA"/>
    <w:pPr>
      <w:spacing w:before="200" w:after="0"/>
      <w:outlineLvl w:val="6"/>
    </w:pPr>
    <w:rPr>
      <w:caps/>
      <w:color w:val="548AB7" w:themeColor="accent1" w:themeShade="BF"/>
      <w:spacing w:val="10"/>
    </w:rPr>
  </w:style>
  <w:style w:type="paragraph" w:styleId="Heading8">
    <w:name w:val="heading 8"/>
    <w:basedOn w:val="Normal"/>
    <w:next w:val="Normal"/>
    <w:link w:val="Heading8Char"/>
    <w:uiPriority w:val="9"/>
    <w:semiHidden/>
    <w:unhideWhenUsed/>
    <w:qFormat/>
    <w:rsid w:val="00C612C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612C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2CA"/>
    <w:rPr>
      <w:caps/>
      <w:color w:val="FFFFFF" w:themeColor="background1"/>
      <w:spacing w:val="15"/>
      <w:sz w:val="22"/>
      <w:szCs w:val="22"/>
      <w:shd w:val="clear" w:color="auto" w:fill="94B6D2" w:themeFill="accent1"/>
    </w:rPr>
  </w:style>
  <w:style w:type="character" w:customStyle="1" w:styleId="Heading2Char">
    <w:name w:val="Heading 2 Char"/>
    <w:basedOn w:val="DefaultParagraphFont"/>
    <w:link w:val="Heading2"/>
    <w:uiPriority w:val="9"/>
    <w:semiHidden/>
    <w:rsid w:val="00C612CA"/>
    <w:rPr>
      <w:caps/>
      <w:spacing w:val="15"/>
      <w:shd w:val="clear" w:color="auto" w:fill="E9F0F6" w:themeFill="accent1" w:themeFillTint="33"/>
    </w:rPr>
  </w:style>
  <w:style w:type="character" w:customStyle="1" w:styleId="Heading3Char">
    <w:name w:val="Heading 3 Char"/>
    <w:basedOn w:val="DefaultParagraphFont"/>
    <w:link w:val="Heading3"/>
    <w:uiPriority w:val="9"/>
    <w:semiHidden/>
    <w:rsid w:val="00C612CA"/>
    <w:rPr>
      <w:caps/>
      <w:color w:val="345C7D" w:themeColor="accent1" w:themeShade="7F"/>
      <w:spacing w:val="15"/>
    </w:rPr>
  </w:style>
  <w:style w:type="character" w:customStyle="1" w:styleId="Heading4Char">
    <w:name w:val="Heading 4 Char"/>
    <w:basedOn w:val="DefaultParagraphFont"/>
    <w:link w:val="Heading4"/>
    <w:uiPriority w:val="9"/>
    <w:semiHidden/>
    <w:rsid w:val="00C612CA"/>
    <w:rPr>
      <w:caps/>
      <w:color w:val="548AB7" w:themeColor="accent1" w:themeShade="BF"/>
      <w:spacing w:val="10"/>
    </w:rPr>
  </w:style>
  <w:style w:type="character" w:customStyle="1" w:styleId="Heading5Char">
    <w:name w:val="Heading 5 Char"/>
    <w:basedOn w:val="DefaultParagraphFont"/>
    <w:link w:val="Heading5"/>
    <w:uiPriority w:val="9"/>
    <w:semiHidden/>
    <w:rsid w:val="00C612CA"/>
    <w:rPr>
      <w:caps/>
      <w:color w:val="548AB7" w:themeColor="accent1" w:themeShade="BF"/>
      <w:spacing w:val="10"/>
    </w:rPr>
  </w:style>
  <w:style w:type="character" w:customStyle="1" w:styleId="Heading6Char">
    <w:name w:val="Heading 6 Char"/>
    <w:basedOn w:val="DefaultParagraphFont"/>
    <w:link w:val="Heading6"/>
    <w:uiPriority w:val="9"/>
    <w:semiHidden/>
    <w:rsid w:val="00C612CA"/>
    <w:rPr>
      <w:caps/>
      <w:color w:val="548AB7" w:themeColor="accent1" w:themeShade="BF"/>
      <w:spacing w:val="10"/>
    </w:rPr>
  </w:style>
  <w:style w:type="character" w:customStyle="1" w:styleId="Heading7Char">
    <w:name w:val="Heading 7 Char"/>
    <w:basedOn w:val="DefaultParagraphFont"/>
    <w:link w:val="Heading7"/>
    <w:uiPriority w:val="9"/>
    <w:semiHidden/>
    <w:rsid w:val="00C612CA"/>
    <w:rPr>
      <w:caps/>
      <w:color w:val="548AB7" w:themeColor="accent1" w:themeShade="BF"/>
      <w:spacing w:val="10"/>
    </w:rPr>
  </w:style>
  <w:style w:type="character" w:customStyle="1" w:styleId="Heading8Char">
    <w:name w:val="Heading 8 Char"/>
    <w:basedOn w:val="DefaultParagraphFont"/>
    <w:link w:val="Heading8"/>
    <w:uiPriority w:val="9"/>
    <w:semiHidden/>
    <w:rsid w:val="00C612CA"/>
    <w:rPr>
      <w:caps/>
      <w:spacing w:val="10"/>
      <w:sz w:val="18"/>
      <w:szCs w:val="18"/>
    </w:rPr>
  </w:style>
  <w:style w:type="character" w:customStyle="1" w:styleId="Heading9Char">
    <w:name w:val="Heading 9 Char"/>
    <w:basedOn w:val="DefaultParagraphFont"/>
    <w:link w:val="Heading9"/>
    <w:uiPriority w:val="9"/>
    <w:semiHidden/>
    <w:rsid w:val="00C612CA"/>
    <w:rPr>
      <w:i/>
      <w:iCs/>
      <w:caps/>
      <w:spacing w:val="10"/>
      <w:sz w:val="18"/>
      <w:szCs w:val="18"/>
    </w:rPr>
  </w:style>
  <w:style w:type="paragraph" w:styleId="Caption">
    <w:name w:val="caption"/>
    <w:basedOn w:val="Normal"/>
    <w:next w:val="Normal"/>
    <w:uiPriority w:val="35"/>
    <w:semiHidden/>
    <w:unhideWhenUsed/>
    <w:qFormat/>
    <w:rsid w:val="00C612CA"/>
    <w:rPr>
      <w:b/>
      <w:bCs/>
      <w:color w:val="548AB7" w:themeColor="accent1" w:themeShade="BF"/>
      <w:sz w:val="16"/>
      <w:szCs w:val="16"/>
    </w:rPr>
  </w:style>
  <w:style w:type="paragraph" w:styleId="Title">
    <w:name w:val="Title"/>
    <w:basedOn w:val="Normal"/>
    <w:next w:val="Normal"/>
    <w:link w:val="TitleChar"/>
    <w:uiPriority w:val="10"/>
    <w:qFormat/>
    <w:rsid w:val="00C612CA"/>
    <w:pPr>
      <w:spacing w:before="0" w:after="0"/>
    </w:pPr>
    <w:rPr>
      <w:rFonts w:asciiTheme="majorHAnsi" w:eastAsiaTheme="majorEastAsia" w:hAnsiTheme="majorHAnsi" w:cstheme="majorBidi"/>
      <w:caps/>
      <w:color w:val="94B6D2" w:themeColor="accent1"/>
      <w:spacing w:val="10"/>
      <w:sz w:val="52"/>
      <w:szCs w:val="52"/>
    </w:rPr>
  </w:style>
  <w:style w:type="character" w:customStyle="1" w:styleId="TitleChar">
    <w:name w:val="Title Char"/>
    <w:basedOn w:val="DefaultParagraphFont"/>
    <w:link w:val="Title"/>
    <w:uiPriority w:val="10"/>
    <w:rsid w:val="00C612CA"/>
    <w:rPr>
      <w:rFonts w:asciiTheme="majorHAnsi" w:eastAsiaTheme="majorEastAsia" w:hAnsiTheme="majorHAnsi" w:cstheme="majorBidi"/>
      <w:caps/>
      <w:color w:val="94B6D2" w:themeColor="accent1"/>
      <w:spacing w:val="10"/>
      <w:sz w:val="52"/>
      <w:szCs w:val="52"/>
    </w:rPr>
  </w:style>
  <w:style w:type="paragraph" w:styleId="Subtitle">
    <w:name w:val="Subtitle"/>
    <w:basedOn w:val="Normal"/>
    <w:next w:val="Normal"/>
    <w:link w:val="SubtitleChar"/>
    <w:uiPriority w:val="11"/>
    <w:qFormat/>
    <w:rsid w:val="00C612CA"/>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C612CA"/>
    <w:rPr>
      <w:caps/>
      <w:color w:val="595959" w:themeColor="text1" w:themeTint="A6"/>
      <w:spacing w:val="10"/>
      <w:sz w:val="21"/>
      <w:szCs w:val="21"/>
    </w:rPr>
  </w:style>
  <w:style w:type="character" w:styleId="Strong">
    <w:name w:val="Strong"/>
    <w:uiPriority w:val="22"/>
    <w:qFormat/>
    <w:rsid w:val="00C612CA"/>
    <w:rPr>
      <w:b/>
      <w:bCs/>
    </w:rPr>
  </w:style>
  <w:style w:type="character" w:styleId="Emphasis">
    <w:name w:val="Emphasis"/>
    <w:uiPriority w:val="20"/>
    <w:qFormat/>
    <w:rsid w:val="00C612CA"/>
    <w:rPr>
      <w:caps/>
      <w:color w:val="345C7D" w:themeColor="accent1" w:themeShade="7F"/>
      <w:spacing w:val="5"/>
    </w:rPr>
  </w:style>
  <w:style w:type="paragraph" w:styleId="NoSpacing">
    <w:name w:val="No Spacing"/>
    <w:uiPriority w:val="1"/>
    <w:qFormat/>
    <w:rsid w:val="00C612CA"/>
    <w:pPr>
      <w:spacing w:after="0" w:line="240" w:lineRule="auto"/>
    </w:pPr>
  </w:style>
  <w:style w:type="paragraph" w:styleId="Quote">
    <w:name w:val="Quote"/>
    <w:basedOn w:val="Normal"/>
    <w:next w:val="Normal"/>
    <w:link w:val="QuoteChar"/>
    <w:uiPriority w:val="29"/>
    <w:qFormat/>
    <w:rsid w:val="00C612CA"/>
    <w:rPr>
      <w:i/>
      <w:iCs/>
      <w:sz w:val="24"/>
      <w:szCs w:val="24"/>
    </w:rPr>
  </w:style>
  <w:style w:type="character" w:customStyle="1" w:styleId="QuoteChar">
    <w:name w:val="Quote Char"/>
    <w:basedOn w:val="DefaultParagraphFont"/>
    <w:link w:val="Quote"/>
    <w:uiPriority w:val="29"/>
    <w:rsid w:val="00C612CA"/>
    <w:rPr>
      <w:i/>
      <w:iCs/>
      <w:sz w:val="24"/>
      <w:szCs w:val="24"/>
    </w:rPr>
  </w:style>
  <w:style w:type="paragraph" w:styleId="IntenseQuote">
    <w:name w:val="Intense Quote"/>
    <w:basedOn w:val="Normal"/>
    <w:next w:val="Normal"/>
    <w:link w:val="IntenseQuoteChar"/>
    <w:uiPriority w:val="30"/>
    <w:qFormat/>
    <w:rsid w:val="00C612CA"/>
    <w:pPr>
      <w:spacing w:before="240" w:after="240" w:line="240" w:lineRule="auto"/>
      <w:ind w:left="1080" w:right="1080"/>
      <w:jc w:val="center"/>
    </w:pPr>
    <w:rPr>
      <w:color w:val="94B6D2" w:themeColor="accent1"/>
      <w:sz w:val="24"/>
      <w:szCs w:val="24"/>
    </w:rPr>
  </w:style>
  <w:style w:type="character" w:customStyle="1" w:styleId="IntenseQuoteChar">
    <w:name w:val="Intense Quote Char"/>
    <w:basedOn w:val="DefaultParagraphFont"/>
    <w:link w:val="IntenseQuote"/>
    <w:uiPriority w:val="30"/>
    <w:rsid w:val="00C612CA"/>
    <w:rPr>
      <w:color w:val="94B6D2" w:themeColor="accent1"/>
      <w:sz w:val="24"/>
      <w:szCs w:val="24"/>
    </w:rPr>
  </w:style>
  <w:style w:type="character" w:styleId="SubtleEmphasis">
    <w:name w:val="Subtle Emphasis"/>
    <w:uiPriority w:val="19"/>
    <w:qFormat/>
    <w:rsid w:val="00C612CA"/>
    <w:rPr>
      <w:i/>
      <w:iCs/>
      <w:color w:val="345C7D" w:themeColor="accent1" w:themeShade="7F"/>
    </w:rPr>
  </w:style>
  <w:style w:type="character" w:styleId="IntenseEmphasis">
    <w:name w:val="Intense Emphasis"/>
    <w:uiPriority w:val="21"/>
    <w:qFormat/>
    <w:rsid w:val="00C612CA"/>
    <w:rPr>
      <w:b/>
      <w:bCs/>
      <w:caps/>
      <w:color w:val="345C7D" w:themeColor="accent1" w:themeShade="7F"/>
      <w:spacing w:val="10"/>
    </w:rPr>
  </w:style>
  <w:style w:type="character" w:styleId="SubtleReference">
    <w:name w:val="Subtle Reference"/>
    <w:uiPriority w:val="31"/>
    <w:qFormat/>
    <w:rsid w:val="00C612CA"/>
    <w:rPr>
      <w:b/>
      <w:bCs/>
      <w:color w:val="94B6D2" w:themeColor="accent1"/>
    </w:rPr>
  </w:style>
  <w:style w:type="character" w:styleId="IntenseReference">
    <w:name w:val="Intense Reference"/>
    <w:uiPriority w:val="32"/>
    <w:qFormat/>
    <w:rsid w:val="00C612CA"/>
    <w:rPr>
      <w:b/>
      <w:bCs/>
      <w:i/>
      <w:iCs/>
      <w:caps/>
      <w:color w:val="94B6D2" w:themeColor="accent1"/>
    </w:rPr>
  </w:style>
  <w:style w:type="character" w:styleId="BookTitle">
    <w:name w:val="Book Title"/>
    <w:uiPriority w:val="33"/>
    <w:qFormat/>
    <w:rsid w:val="00C612CA"/>
    <w:rPr>
      <w:b/>
      <w:bCs/>
      <w:i/>
      <w:iCs/>
      <w:spacing w:val="0"/>
    </w:rPr>
  </w:style>
  <w:style w:type="paragraph" w:styleId="TOCHeading">
    <w:name w:val="TOC Heading"/>
    <w:basedOn w:val="Heading1"/>
    <w:next w:val="Normal"/>
    <w:uiPriority w:val="39"/>
    <w:semiHidden/>
    <w:unhideWhenUsed/>
    <w:qFormat/>
    <w:rsid w:val="00C612CA"/>
    <w:pPr>
      <w:outlineLvl w:val="9"/>
    </w:pPr>
  </w:style>
  <w:style w:type="table" w:styleId="TableGrid">
    <w:name w:val="Table Grid"/>
    <w:basedOn w:val="TableNormal"/>
    <w:uiPriority w:val="39"/>
    <w:rsid w:val="00C612C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D2C"/>
    <w:pPr>
      <w:ind w:left="720"/>
      <w:contextualSpacing/>
    </w:pPr>
  </w:style>
  <w:style w:type="character" w:styleId="Hyperlink">
    <w:name w:val="Hyperlink"/>
    <w:basedOn w:val="DefaultParagraphFont"/>
    <w:uiPriority w:val="99"/>
    <w:unhideWhenUsed/>
    <w:rsid w:val="00FF407B"/>
    <w:rPr>
      <w:color w:val="548BB7" w:themeColor="hyperlink"/>
      <w:u w:val="single"/>
    </w:rPr>
  </w:style>
  <w:style w:type="character" w:styleId="CommentReference">
    <w:name w:val="annotation reference"/>
    <w:basedOn w:val="DefaultParagraphFont"/>
    <w:uiPriority w:val="99"/>
    <w:semiHidden/>
    <w:unhideWhenUsed/>
    <w:rsid w:val="00C050AD"/>
    <w:rPr>
      <w:sz w:val="16"/>
      <w:szCs w:val="16"/>
    </w:rPr>
  </w:style>
  <w:style w:type="paragraph" w:styleId="CommentText">
    <w:name w:val="annotation text"/>
    <w:basedOn w:val="Normal"/>
    <w:link w:val="CommentTextChar"/>
    <w:uiPriority w:val="99"/>
    <w:unhideWhenUsed/>
    <w:rsid w:val="00C050AD"/>
    <w:pPr>
      <w:spacing w:line="240" w:lineRule="auto"/>
    </w:pPr>
  </w:style>
  <w:style w:type="character" w:customStyle="1" w:styleId="CommentTextChar">
    <w:name w:val="Comment Text Char"/>
    <w:basedOn w:val="DefaultParagraphFont"/>
    <w:link w:val="CommentText"/>
    <w:uiPriority w:val="99"/>
    <w:rsid w:val="00C050AD"/>
  </w:style>
  <w:style w:type="paragraph" w:styleId="CommentSubject">
    <w:name w:val="annotation subject"/>
    <w:basedOn w:val="CommentText"/>
    <w:next w:val="CommentText"/>
    <w:link w:val="CommentSubjectChar"/>
    <w:uiPriority w:val="99"/>
    <w:semiHidden/>
    <w:unhideWhenUsed/>
    <w:rsid w:val="00C050AD"/>
    <w:rPr>
      <w:b/>
      <w:bCs/>
    </w:rPr>
  </w:style>
  <w:style w:type="character" w:customStyle="1" w:styleId="CommentSubjectChar">
    <w:name w:val="Comment Subject Char"/>
    <w:basedOn w:val="CommentTextChar"/>
    <w:link w:val="CommentSubject"/>
    <w:uiPriority w:val="99"/>
    <w:semiHidden/>
    <w:rsid w:val="00C050AD"/>
    <w:rPr>
      <w:b/>
      <w:bCs/>
    </w:rPr>
  </w:style>
  <w:style w:type="character" w:styleId="UnresolvedMention">
    <w:name w:val="Unresolved Mention"/>
    <w:basedOn w:val="DefaultParagraphFont"/>
    <w:uiPriority w:val="99"/>
    <w:semiHidden/>
    <w:unhideWhenUsed/>
    <w:rsid w:val="00EA66AC"/>
    <w:rPr>
      <w:color w:val="605E5C"/>
      <w:shd w:val="clear" w:color="auto" w:fill="E1DFDD"/>
    </w:rPr>
  </w:style>
  <w:style w:type="paragraph" w:styleId="Header">
    <w:name w:val="header"/>
    <w:basedOn w:val="Normal"/>
    <w:link w:val="HeaderChar"/>
    <w:uiPriority w:val="99"/>
    <w:unhideWhenUsed/>
    <w:rsid w:val="00EA66A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A66AC"/>
  </w:style>
  <w:style w:type="paragraph" w:styleId="Footer">
    <w:name w:val="footer"/>
    <w:basedOn w:val="Normal"/>
    <w:link w:val="FooterChar"/>
    <w:uiPriority w:val="99"/>
    <w:unhideWhenUsed/>
    <w:rsid w:val="00EA66A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A66AC"/>
  </w:style>
  <w:style w:type="character" w:styleId="FollowedHyperlink">
    <w:name w:val="FollowedHyperlink"/>
    <w:basedOn w:val="DefaultParagraphFont"/>
    <w:uiPriority w:val="99"/>
    <w:semiHidden/>
    <w:unhideWhenUsed/>
    <w:rsid w:val="00136F6B"/>
    <w:rPr>
      <w:color w:val="70440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188877">
      <w:bodyDiv w:val="1"/>
      <w:marLeft w:val="0"/>
      <w:marRight w:val="0"/>
      <w:marTop w:val="0"/>
      <w:marBottom w:val="0"/>
      <w:divBdr>
        <w:top w:val="none" w:sz="0" w:space="0" w:color="auto"/>
        <w:left w:val="none" w:sz="0" w:space="0" w:color="auto"/>
        <w:bottom w:val="none" w:sz="0" w:space="0" w:color="auto"/>
        <w:right w:val="none" w:sz="0" w:space="0" w:color="auto"/>
      </w:divBdr>
      <w:divsChild>
        <w:div w:id="1218936592">
          <w:marLeft w:val="547"/>
          <w:marRight w:val="0"/>
          <w:marTop w:val="134"/>
          <w:marBottom w:val="0"/>
          <w:divBdr>
            <w:top w:val="none" w:sz="0" w:space="0" w:color="auto"/>
            <w:left w:val="none" w:sz="0" w:space="0" w:color="auto"/>
            <w:bottom w:val="none" w:sz="0" w:space="0" w:color="auto"/>
            <w:right w:val="none" w:sz="0" w:space="0" w:color="auto"/>
          </w:divBdr>
        </w:div>
        <w:div w:id="714547407">
          <w:marLeft w:val="547"/>
          <w:marRight w:val="0"/>
          <w:marTop w:val="134"/>
          <w:marBottom w:val="0"/>
          <w:divBdr>
            <w:top w:val="none" w:sz="0" w:space="0" w:color="auto"/>
            <w:left w:val="none" w:sz="0" w:space="0" w:color="auto"/>
            <w:bottom w:val="none" w:sz="0" w:space="0" w:color="auto"/>
            <w:right w:val="none" w:sz="0" w:space="0" w:color="auto"/>
          </w:divBdr>
        </w:div>
        <w:div w:id="1995909278">
          <w:marLeft w:val="547"/>
          <w:marRight w:val="0"/>
          <w:marTop w:val="134"/>
          <w:marBottom w:val="0"/>
          <w:divBdr>
            <w:top w:val="none" w:sz="0" w:space="0" w:color="auto"/>
            <w:left w:val="none" w:sz="0" w:space="0" w:color="auto"/>
            <w:bottom w:val="none" w:sz="0" w:space="0" w:color="auto"/>
            <w:right w:val="none" w:sz="0" w:space="0" w:color="auto"/>
          </w:divBdr>
        </w:div>
        <w:div w:id="535433151">
          <w:marLeft w:val="547"/>
          <w:marRight w:val="0"/>
          <w:marTop w:val="134"/>
          <w:marBottom w:val="0"/>
          <w:divBdr>
            <w:top w:val="none" w:sz="0" w:space="0" w:color="auto"/>
            <w:left w:val="none" w:sz="0" w:space="0" w:color="auto"/>
            <w:bottom w:val="none" w:sz="0" w:space="0" w:color="auto"/>
            <w:right w:val="none" w:sz="0" w:space="0" w:color="auto"/>
          </w:divBdr>
        </w:div>
        <w:div w:id="1408460518">
          <w:marLeft w:val="547"/>
          <w:marRight w:val="0"/>
          <w:marTop w:val="134"/>
          <w:marBottom w:val="0"/>
          <w:divBdr>
            <w:top w:val="none" w:sz="0" w:space="0" w:color="auto"/>
            <w:left w:val="none" w:sz="0" w:space="0" w:color="auto"/>
            <w:bottom w:val="none" w:sz="0" w:space="0" w:color="auto"/>
            <w:right w:val="none" w:sz="0" w:space="0" w:color="auto"/>
          </w:divBdr>
        </w:div>
      </w:divsChild>
    </w:div>
    <w:div w:id="673459511">
      <w:bodyDiv w:val="1"/>
      <w:marLeft w:val="0"/>
      <w:marRight w:val="0"/>
      <w:marTop w:val="0"/>
      <w:marBottom w:val="0"/>
      <w:divBdr>
        <w:top w:val="none" w:sz="0" w:space="0" w:color="auto"/>
        <w:left w:val="none" w:sz="0" w:space="0" w:color="auto"/>
        <w:bottom w:val="none" w:sz="0" w:space="0" w:color="auto"/>
        <w:right w:val="none" w:sz="0" w:space="0" w:color="auto"/>
      </w:divBdr>
      <w:divsChild>
        <w:div w:id="998968702">
          <w:marLeft w:val="547"/>
          <w:marRight w:val="0"/>
          <w:marTop w:val="115"/>
          <w:marBottom w:val="0"/>
          <w:divBdr>
            <w:top w:val="none" w:sz="0" w:space="0" w:color="auto"/>
            <w:left w:val="none" w:sz="0" w:space="0" w:color="auto"/>
            <w:bottom w:val="none" w:sz="0" w:space="0" w:color="auto"/>
            <w:right w:val="none" w:sz="0" w:space="0" w:color="auto"/>
          </w:divBdr>
        </w:div>
      </w:divsChild>
    </w:div>
    <w:div w:id="1097409445">
      <w:bodyDiv w:val="1"/>
      <w:marLeft w:val="0"/>
      <w:marRight w:val="0"/>
      <w:marTop w:val="0"/>
      <w:marBottom w:val="0"/>
      <w:divBdr>
        <w:top w:val="none" w:sz="0" w:space="0" w:color="auto"/>
        <w:left w:val="none" w:sz="0" w:space="0" w:color="auto"/>
        <w:bottom w:val="none" w:sz="0" w:space="0" w:color="auto"/>
        <w:right w:val="none" w:sz="0" w:space="0" w:color="auto"/>
      </w:divBdr>
    </w:div>
    <w:div w:id="1342662232">
      <w:bodyDiv w:val="1"/>
      <w:marLeft w:val="0"/>
      <w:marRight w:val="0"/>
      <w:marTop w:val="0"/>
      <w:marBottom w:val="0"/>
      <w:divBdr>
        <w:top w:val="none" w:sz="0" w:space="0" w:color="auto"/>
        <w:left w:val="none" w:sz="0" w:space="0" w:color="auto"/>
        <w:bottom w:val="none" w:sz="0" w:space="0" w:color="auto"/>
        <w:right w:val="none" w:sz="0" w:space="0" w:color="auto"/>
      </w:divBdr>
      <w:divsChild>
        <w:div w:id="187109938">
          <w:marLeft w:val="547"/>
          <w:marRight w:val="0"/>
          <w:marTop w:val="134"/>
          <w:marBottom w:val="0"/>
          <w:divBdr>
            <w:top w:val="none" w:sz="0" w:space="0" w:color="auto"/>
            <w:left w:val="none" w:sz="0" w:space="0" w:color="auto"/>
            <w:bottom w:val="none" w:sz="0" w:space="0" w:color="auto"/>
            <w:right w:val="none" w:sz="0" w:space="0" w:color="auto"/>
          </w:divBdr>
        </w:div>
        <w:div w:id="1938978302">
          <w:marLeft w:val="547"/>
          <w:marRight w:val="0"/>
          <w:marTop w:val="134"/>
          <w:marBottom w:val="0"/>
          <w:divBdr>
            <w:top w:val="none" w:sz="0" w:space="0" w:color="auto"/>
            <w:left w:val="none" w:sz="0" w:space="0" w:color="auto"/>
            <w:bottom w:val="none" w:sz="0" w:space="0" w:color="auto"/>
            <w:right w:val="none" w:sz="0" w:space="0" w:color="auto"/>
          </w:divBdr>
        </w:div>
        <w:div w:id="270169327">
          <w:marLeft w:val="547"/>
          <w:marRight w:val="0"/>
          <w:marTop w:val="134"/>
          <w:marBottom w:val="0"/>
          <w:divBdr>
            <w:top w:val="none" w:sz="0" w:space="0" w:color="auto"/>
            <w:left w:val="none" w:sz="0" w:space="0" w:color="auto"/>
            <w:bottom w:val="none" w:sz="0" w:space="0" w:color="auto"/>
            <w:right w:val="none" w:sz="0" w:space="0" w:color="auto"/>
          </w:divBdr>
        </w:div>
        <w:div w:id="1446004594">
          <w:marLeft w:val="547"/>
          <w:marRight w:val="0"/>
          <w:marTop w:val="134"/>
          <w:marBottom w:val="0"/>
          <w:divBdr>
            <w:top w:val="none" w:sz="0" w:space="0" w:color="auto"/>
            <w:left w:val="none" w:sz="0" w:space="0" w:color="auto"/>
            <w:bottom w:val="none" w:sz="0" w:space="0" w:color="auto"/>
            <w:right w:val="none" w:sz="0" w:space="0" w:color="auto"/>
          </w:divBdr>
        </w:div>
        <w:div w:id="1880429708">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hytozome-next.jgi.doe.gov/" TargetMode="External"/><Relationship Id="rId18" Type="http://schemas.openxmlformats.org/officeDocument/2006/relationships/hyperlink" Target="https://www.nal.usda.gov/main/data/find-data-repositor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ameriflux.lbl.gov/about/ameriflux-management-project/" TargetMode="External"/><Relationship Id="rId17" Type="http://schemas.openxmlformats.org/officeDocument/2006/relationships/hyperlink" Target="https://www.nal.usda.gov/main/data/dmp-feedback-review" TargetMode="External"/><Relationship Id="rId2" Type="http://schemas.openxmlformats.org/officeDocument/2006/relationships/customXml" Target="../customXml/item2.xml"/><Relationship Id="rId16" Type="http://schemas.openxmlformats.org/officeDocument/2006/relationships/hyperlink" Target="https://www.nal.usda.gov/main/data/data-management-plan-guidance" TargetMode="External"/><Relationship Id="rId20" Type="http://schemas.openxmlformats.org/officeDocument/2006/relationships/hyperlink" Target="https://www.nal.usda.gov/main/data/data-management-video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cc.ac.uk/guidance/standards/metadata" TargetMode="External"/><Relationship Id="rId5" Type="http://schemas.openxmlformats.org/officeDocument/2006/relationships/styles" Target="styles.xml"/><Relationship Id="rId15" Type="http://schemas.openxmlformats.org/officeDocument/2006/relationships/hyperlink" Target="https://www.sciencedirect.com/science/article/pii/S016816991300077X" TargetMode="External"/><Relationship Id="rId10" Type="http://schemas.openxmlformats.org/officeDocument/2006/relationships/hyperlink" Target="https://www.dcc.ac.uk/guidance/standards/metadata" TargetMode="External"/><Relationship Id="rId19" Type="http://schemas.openxmlformats.org/officeDocument/2006/relationships/hyperlink" Target="https://www.nal.usda.gov/main/data/data-management-glossa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ata.nal.usda.gov/dataset/nal-agricultural-thesaurus-and-glossar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548BB7"/>
      </a:hlink>
      <a:folHlink>
        <a:srgbClr val="70440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D80EB3-B91C-4024-B3D9-DEA7424E7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311244A-3F62-47F3-8C2B-28E068A2EC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2389EF-B733-46B4-9E74-96AA114A3A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2194</Words>
  <Characters>12506</Characters>
  <Application>Microsoft Office Word</Application>
  <DocSecurity>0</DocSecurity>
  <Lines>104</Lines>
  <Paragraphs>29</Paragraphs>
  <ScaleCrop>false</ScaleCrop>
  <Company/>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Susan</dc:creator>
  <cp:keywords/>
  <dc:description/>
  <cp:lastModifiedBy>Thompson, Rebecca - REE-ARS</cp:lastModifiedBy>
  <cp:revision>6</cp:revision>
  <dcterms:created xsi:type="dcterms:W3CDTF">2025-05-05T13:12:00Z</dcterms:created>
  <dcterms:modified xsi:type="dcterms:W3CDTF">2025-05-15T16:37:00Z</dcterms:modified>
</cp:coreProperties>
</file>